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A84" w:rsidRPr="007C76E5" w:rsidRDefault="00784431" w:rsidP="00904A84">
      <w:pPr>
        <w:pStyle w:val="Title"/>
      </w:pPr>
      <w:bookmarkStart w:id="0" w:name="_Toc488850727"/>
      <w:bookmarkStart w:id="1" w:name="_GoBack"/>
      <w:bookmarkEnd w:id="1"/>
      <w:r>
        <w:t>Welding Technology</w:t>
      </w:r>
      <w:r w:rsidR="00904A84" w:rsidRPr="007C76E5">
        <w:t xml:space="preserve"> Evaluation Tool</w:t>
      </w:r>
    </w:p>
    <w:p w:rsidR="00904A84" w:rsidRDefault="00904A84" w:rsidP="00904A84">
      <w:pPr>
        <w:pStyle w:val="Subtitle"/>
      </w:pPr>
      <w:r>
        <w:t>20</w:t>
      </w:r>
      <w:r w:rsidR="00EE766D">
        <w:t>20</w:t>
      </w:r>
      <w:r>
        <w:t xml:space="preserve"> Curricular Materials Review</w:t>
      </w:r>
    </w:p>
    <w:p w:rsidR="006718C2" w:rsidRPr="006718C2" w:rsidRDefault="006718C2" w:rsidP="006718C2">
      <w:pPr>
        <w:keepNext/>
        <w:keepLines/>
        <w:spacing w:before="600" w:after="240"/>
        <w:outlineLvl w:val="0"/>
        <w:rPr>
          <w:rFonts w:cstheme="minorHAnsi"/>
        </w:rPr>
      </w:pPr>
      <w:r w:rsidRPr="006718C2">
        <w:rPr>
          <w:rFonts w:cstheme="minorHAnsi"/>
        </w:rPr>
        <w:t>Idaho CTE Agriculture, Food, and Natural Resources (AFNR) Welding Technology Program Standards</w:t>
      </w:r>
      <w:r w:rsidRPr="006718C2">
        <w:rPr>
          <w:rFonts w:cstheme="minorHAnsi"/>
          <w:vertAlign w:val="superscript"/>
        </w:rPr>
        <w:footnoteReference w:id="1"/>
      </w:r>
    </w:p>
    <w:p w:rsidR="00FE7526" w:rsidRPr="00F51265" w:rsidRDefault="00FE7526" w:rsidP="00FE7526">
      <w:pPr>
        <w:keepNext/>
        <w:keepLines/>
        <w:spacing w:before="600" w:after="240"/>
        <w:outlineLvl w:val="0"/>
        <w:rPr>
          <w:rFonts w:cstheme="minorHAnsi"/>
          <w:b/>
          <w:bCs/>
          <w:caps/>
          <w:color w:val="0E3354"/>
          <w:sz w:val="28"/>
          <w:szCs w:val="28"/>
        </w:rPr>
      </w:pPr>
      <w:r w:rsidRPr="00F51265">
        <w:rPr>
          <w:rFonts w:cstheme="minorHAnsi"/>
          <w:b/>
          <w:bCs/>
          <w:caps/>
          <w:color w:val="0E3354"/>
          <w:sz w:val="28"/>
          <w:szCs w:val="28"/>
        </w:rPr>
        <w:t>Publisher information</w:t>
      </w:r>
    </w:p>
    <w:p w:rsidR="00FE7526" w:rsidRPr="00F51265" w:rsidRDefault="00FE7526" w:rsidP="00FE7526">
      <w:pPr>
        <w:numPr>
          <w:ilvl w:val="0"/>
          <w:numId w:val="2"/>
        </w:numPr>
        <w:spacing w:after="240"/>
        <w:rPr>
          <w:rFonts w:cstheme="minorHAnsi"/>
        </w:rPr>
      </w:pPr>
      <w:r w:rsidRPr="00F51265">
        <w:rPr>
          <w:rFonts w:cstheme="minorHAnsi"/>
        </w:rPr>
        <w:t>Publisher Name:</w:t>
      </w:r>
    </w:p>
    <w:p w:rsidR="00FE7526" w:rsidRPr="00F51265" w:rsidRDefault="00FE7526" w:rsidP="00FE7526">
      <w:pPr>
        <w:numPr>
          <w:ilvl w:val="0"/>
          <w:numId w:val="2"/>
        </w:numPr>
        <w:spacing w:after="240"/>
        <w:rPr>
          <w:rFonts w:cstheme="minorHAnsi"/>
        </w:rPr>
      </w:pPr>
      <w:r w:rsidRPr="00F51265">
        <w:rPr>
          <w:rFonts w:cstheme="minorHAnsi"/>
        </w:rPr>
        <w:t>Title:</w:t>
      </w:r>
    </w:p>
    <w:p w:rsidR="00FE7526" w:rsidRPr="00F51265" w:rsidRDefault="00FE7526" w:rsidP="00FE7526">
      <w:pPr>
        <w:numPr>
          <w:ilvl w:val="0"/>
          <w:numId w:val="2"/>
        </w:numPr>
        <w:spacing w:after="240"/>
        <w:rPr>
          <w:rFonts w:cstheme="minorHAnsi"/>
        </w:rPr>
      </w:pPr>
      <w:r w:rsidRPr="00F51265">
        <w:rPr>
          <w:rFonts w:cstheme="minorHAnsi"/>
        </w:rPr>
        <w:t>Grade Level:</w:t>
      </w:r>
    </w:p>
    <w:p w:rsidR="00FE7526" w:rsidRPr="00F51265" w:rsidRDefault="00FE7526" w:rsidP="00FE7526">
      <w:pPr>
        <w:numPr>
          <w:ilvl w:val="0"/>
          <w:numId w:val="2"/>
        </w:numPr>
        <w:spacing w:after="240"/>
        <w:rPr>
          <w:rFonts w:cstheme="minorHAnsi"/>
        </w:rPr>
      </w:pPr>
      <w:r w:rsidRPr="00F51265">
        <w:rPr>
          <w:rFonts w:cstheme="minorHAnsi"/>
        </w:rPr>
        <w:t>ISBN #:</w:t>
      </w:r>
    </w:p>
    <w:p w:rsidR="00FE7526" w:rsidRPr="00F51265" w:rsidRDefault="00FE7526" w:rsidP="00FE7526">
      <w:pPr>
        <w:numPr>
          <w:ilvl w:val="0"/>
          <w:numId w:val="2"/>
        </w:numPr>
        <w:spacing w:after="240"/>
        <w:rPr>
          <w:rFonts w:cstheme="minorHAnsi"/>
        </w:rPr>
      </w:pPr>
      <w:r w:rsidRPr="00F51265">
        <w:rPr>
          <w:rFonts w:cstheme="minorHAnsi"/>
        </w:rPr>
        <w:t>Author:</w:t>
      </w:r>
    </w:p>
    <w:p w:rsidR="00FE7526" w:rsidRPr="00FE7526" w:rsidRDefault="00FE7526" w:rsidP="00FE7526">
      <w:pPr>
        <w:numPr>
          <w:ilvl w:val="0"/>
          <w:numId w:val="2"/>
        </w:numPr>
        <w:spacing w:after="240"/>
        <w:rPr>
          <w:rFonts w:cstheme="minorHAnsi"/>
        </w:rPr>
      </w:pPr>
      <w:r w:rsidRPr="00F51265">
        <w:rPr>
          <w:rFonts w:cstheme="minorHAnsi"/>
        </w:rPr>
        <w:t>Copyright:</w:t>
      </w:r>
    </w:p>
    <w:p w:rsidR="00FE7526" w:rsidRPr="00F51265" w:rsidRDefault="00FE7526" w:rsidP="00FE7526">
      <w:pPr>
        <w:pStyle w:val="Heading1"/>
      </w:pPr>
      <w:r w:rsidRPr="00F51265">
        <w:t xml:space="preserve">Instructions: </w:t>
      </w:r>
    </w:p>
    <w:p w:rsidR="00FE7526" w:rsidRDefault="00FE7526" w:rsidP="00FE7526">
      <w:pPr>
        <w:rPr>
          <w:rFonts w:cstheme="minorHAnsi"/>
        </w:rPr>
      </w:pPr>
    </w:p>
    <w:p w:rsidR="00B325E2" w:rsidRDefault="00FE7526" w:rsidP="009A70D7">
      <w:pPr>
        <w:spacing w:after="60"/>
      </w:pPr>
      <w:r w:rsidRPr="00F51265">
        <w:rPr>
          <w:rFonts w:cstheme="minorHAnsi"/>
        </w:rPr>
        <w:t xml:space="preserve">Complete the </w:t>
      </w:r>
      <w:r w:rsidRPr="00177ACF">
        <w:rPr>
          <w:rFonts w:cstheme="minorHAnsi"/>
        </w:rPr>
        <w:t>Publisher Standards Alignment Report below</w:t>
      </w:r>
      <w:r w:rsidRPr="00F51265">
        <w:rPr>
          <w:rFonts w:cstheme="minorHAnsi"/>
        </w:rPr>
        <w:t>. Please provide written justification as to how the material meets the standard along with location references. If a justification requires additional space, please submit response on an additional document.</w:t>
      </w:r>
      <w:r w:rsidR="009A70D7">
        <w:t xml:space="preserve"> </w:t>
      </w:r>
    </w:p>
    <w:p w:rsidR="00FE7526" w:rsidRPr="00A04F72" w:rsidRDefault="00FE7526" w:rsidP="00FE7526">
      <w:pPr>
        <w:pStyle w:val="Heading1"/>
        <w:rPr>
          <w:rStyle w:val="IntenseEmphasis"/>
          <w:b/>
          <w:color w:val="806000" w:themeColor="accent1" w:themeShade="80"/>
          <w:szCs w:val="32"/>
        </w:rPr>
      </w:pPr>
      <w:r w:rsidRPr="00177ACF">
        <w:lastRenderedPageBreak/>
        <w:t>Publisher STANDARDS ALIGNMENT Report:</w:t>
      </w:r>
      <w:r w:rsidRPr="00A04F72">
        <w:rPr>
          <w:rStyle w:val="IntenseEmphasis"/>
          <w:color w:val="806000" w:themeColor="accent1" w:themeShade="80"/>
          <w:szCs w:val="32"/>
        </w:rPr>
        <w:t xml:space="preserve"> </w:t>
      </w:r>
    </w:p>
    <w:p w:rsidR="00FE7526" w:rsidRPr="003439E8" w:rsidRDefault="006718C2" w:rsidP="00D57C33">
      <w:pPr>
        <w:pStyle w:val="Heading2"/>
        <w:rPr>
          <w:rStyle w:val="IntenseEmphasis"/>
          <w:color w:val="2B63AC" w:themeColor="background2" w:themeShade="80"/>
          <w:szCs w:val="28"/>
        </w:rPr>
      </w:pPr>
      <w:r w:rsidRPr="003439E8">
        <w:rPr>
          <w:rStyle w:val="IntenseEmphasis"/>
          <w:color w:val="2B63AC" w:themeColor="background2" w:themeShade="80"/>
          <w:szCs w:val="28"/>
        </w:rPr>
        <w:t>Standard WELD.1.0: Identify Lab Organization and Safety Procedures</w:t>
      </w:r>
    </w:p>
    <w:p w:rsidR="00FE7526" w:rsidRPr="00895824" w:rsidRDefault="006718C2" w:rsidP="00895824">
      <w:pPr>
        <w:pStyle w:val="Heading3"/>
      </w:pPr>
      <w:r w:rsidRPr="006718C2">
        <w:t>Performance Standard WELD.1.1 Demonstrate General Lab Safety Rules and Procedures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1.1 table"/>
      </w:tblPr>
      <w:tblGrid>
        <w:gridCol w:w="3373"/>
        <w:gridCol w:w="5854"/>
      </w:tblGrid>
      <w:tr w:rsidR="00FE7526" w:rsidRPr="00904527" w:rsidTr="003439E8">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3439E8">
              <w:rPr>
                <w:rFonts w:eastAsia="Times New Roman"/>
              </w:rPr>
              <w:t>descriptions</w:t>
            </w:r>
            <w:r w:rsidRPr="001C565E">
              <w:rPr>
                <w:rFonts w:eastAsia="Times New Roman"/>
              </w:rPr>
              <w:t>, not just page numbers.</w:t>
            </w:r>
          </w:p>
        </w:tc>
      </w:tr>
      <w:tr w:rsidR="006718C2" w:rsidRPr="00904527" w:rsidTr="003439E8">
        <w:trPr>
          <w:trHeight w:val="827"/>
        </w:trPr>
        <w:tc>
          <w:tcPr>
            <w:tcW w:w="1828" w:type="pct"/>
            <w:tcBorders>
              <w:top w:val="single" w:sz="4" w:space="0" w:color="auto"/>
            </w:tcBorders>
            <w:noWrap/>
          </w:tcPr>
          <w:p w:rsidR="006718C2" w:rsidRPr="005D171D" w:rsidRDefault="006718C2" w:rsidP="006718C2">
            <w:r w:rsidRPr="005D171D">
              <w:t>CTE WELD.1.1.1 Describe general shop safety rules and procedures (i.e., safety test).</w:t>
            </w:r>
          </w:p>
        </w:tc>
        <w:tc>
          <w:tcPr>
            <w:tcW w:w="3172" w:type="pct"/>
            <w:tcBorders>
              <w:top w:val="single" w:sz="4" w:space="0" w:color="auto"/>
            </w:tcBorders>
          </w:tcPr>
          <w:p w:rsidR="006718C2" w:rsidRPr="00B325E2" w:rsidRDefault="006718C2" w:rsidP="006718C2"/>
        </w:tc>
      </w:tr>
      <w:tr w:rsidR="006718C2" w:rsidRPr="00904527" w:rsidTr="003439E8">
        <w:trPr>
          <w:trHeight w:val="980"/>
        </w:trPr>
        <w:tc>
          <w:tcPr>
            <w:tcW w:w="1828" w:type="pct"/>
            <w:noWrap/>
          </w:tcPr>
          <w:p w:rsidR="006718C2" w:rsidRPr="005D171D" w:rsidRDefault="006718C2" w:rsidP="006718C2">
            <w:r w:rsidRPr="005D171D">
              <w:t>CTE WELD.1.1.2 Describe OSHA in workplace safety.</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WELD.1.1.3 Comply with the required use of safety glasses, ear protection, gloves, and shoes during lab/shop activities (i.e., personal protection equipment – PPE).</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WELD.1.1.4 Operate lab equipment according to safety guidelines.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WELD.1.1.5 Identify and use proper lifting procedures and proper use of support equipment (i.e., rigging, chains, straps, cables).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WELD.1.1.6 Utilize proper ventilation procedures for working within the lab/shop area.</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WELD.1.1.7 Identify marked safety areas.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 xml:space="preserve">CTE WELD.1.1.8 Identify the location and the types of fire extinguishers and other fire </w:t>
            </w:r>
            <w:r w:rsidRPr="005D171D">
              <w:lastRenderedPageBreak/>
              <w:t>safety equipment; demonstrate knowledge of the procedures for using fire extinguishers and other fire safety equipment.</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WELD.1.1.9 Identify the location and use of eye wash stations.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WELD.1.1.10 Identify the location of the posted evacuation routes.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WELD.1.1.11 Identify and wear appropriate clothing for lab/shop activities.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WELD.1.1.12 Secure hair and jewelry for lab/shop activities.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WELD.1.1.13 Demonstrate knowledge of the safety aspects of high voltage circuits.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WELD.1.1.14 Locate and interpret safety data sheets (SDS).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WELD.1.1.15 Perform housekeeping duties.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WELD.1.1.16 Follow verbal instructions to complete work assignments.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WELD.1.1.17 Follow written instructions to complete work assignments.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Pr="005D171D" w:rsidRDefault="006718C2" w:rsidP="006718C2">
            <w:r w:rsidRPr="005D171D">
              <w:t>CTE WELD.1.1.18 Identify requirements for Hot Work Permits.</w:t>
            </w:r>
          </w:p>
        </w:tc>
        <w:tc>
          <w:tcPr>
            <w:tcW w:w="3172" w:type="pct"/>
          </w:tcPr>
          <w:p w:rsidR="006718C2" w:rsidRPr="00B325E2" w:rsidRDefault="006718C2" w:rsidP="006718C2"/>
        </w:tc>
      </w:tr>
      <w:tr w:rsidR="006718C2" w:rsidRPr="00904527" w:rsidTr="003439E8">
        <w:trPr>
          <w:trHeight w:val="620"/>
        </w:trPr>
        <w:tc>
          <w:tcPr>
            <w:tcW w:w="1828" w:type="pct"/>
            <w:noWrap/>
          </w:tcPr>
          <w:p w:rsidR="006718C2" w:rsidRDefault="006718C2" w:rsidP="006718C2">
            <w:r w:rsidRPr="005D171D">
              <w:lastRenderedPageBreak/>
              <w:t>CTE WELD.1.1.19 Identify what constitutes a confined space.</w:t>
            </w:r>
          </w:p>
        </w:tc>
        <w:tc>
          <w:tcPr>
            <w:tcW w:w="3172" w:type="pct"/>
          </w:tcPr>
          <w:p w:rsidR="006718C2" w:rsidRPr="00B325E2" w:rsidRDefault="006718C2" w:rsidP="006718C2"/>
        </w:tc>
      </w:tr>
    </w:tbl>
    <w:p w:rsidR="000162C8" w:rsidRPr="000162C8" w:rsidRDefault="006718C2" w:rsidP="000162C8">
      <w:pPr>
        <w:pStyle w:val="Heading3"/>
        <w:rPr>
          <w:color w:val="auto"/>
        </w:rPr>
      </w:pPr>
      <w:r w:rsidRPr="006718C2">
        <w:rPr>
          <w:rFonts w:eastAsia="Times New Roman"/>
          <w:color w:val="auto"/>
        </w:rPr>
        <w:t>Performance Standard WELD.1.2 Identify and Utilize Hand Tools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A95A66" w:rsidRPr="00904527" w:rsidTr="003439E8">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3439E8">
              <w:rPr>
                <w:rFonts w:eastAsia="Times New Roman"/>
              </w:rPr>
              <w:t>descriptions</w:t>
            </w:r>
            <w:r w:rsidRPr="001C565E">
              <w:rPr>
                <w:rFonts w:eastAsia="Times New Roman"/>
              </w:rPr>
              <w:t>, not just page numbers.</w:t>
            </w:r>
          </w:p>
        </w:tc>
      </w:tr>
      <w:tr w:rsidR="006718C2" w:rsidRPr="00904527" w:rsidTr="003439E8">
        <w:trPr>
          <w:trHeight w:val="881"/>
        </w:trPr>
        <w:tc>
          <w:tcPr>
            <w:tcW w:w="1828" w:type="pct"/>
            <w:tcBorders>
              <w:top w:val="single" w:sz="4" w:space="0" w:color="auto"/>
            </w:tcBorders>
            <w:noWrap/>
          </w:tcPr>
          <w:p w:rsidR="006718C2" w:rsidRPr="00CA0F84" w:rsidRDefault="006718C2" w:rsidP="006718C2">
            <w:r w:rsidRPr="00CA0F84">
              <w:t>CTE WELD.1.2.1 Identify hand tools and their appropriate usage.</w:t>
            </w:r>
          </w:p>
        </w:tc>
        <w:tc>
          <w:tcPr>
            <w:tcW w:w="3172" w:type="pct"/>
            <w:tcBorders>
              <w:top w:val="single" w:sz="4" w:space="0" w:color="auto"/>
            </w:tcBorders>
          </w:tcPr>
          <w:p w:rsidR="006718C2" w:rsidRPr="00B325E2" w:rsidRDefault="006718C2" w:rsidP="006718C2"/>
        </w:tc>
      </w:tr>
      <w:tr w:rsidR="006718C2" w:rsidRPr="00904527" w:rsidTr="003439E8">
        <w:trPr>
          <w:trHeight w:val="683"/>
        </w:trPr>
        <w:tc>
          <w:tcPr>
            <w:tcW w:w="1828" w:type="pct"/>
            <w:noWrap/>
          </w:tcPr>
          <w:p w:rsidR="006718C2" w:rsidRPr="00CA0F84" w:rsidRDefault="006718C2" w:rsidP="006718C2">
            <w:r w:rsidRPr="00CA0F84">
              <w:t>CTE WELD.1.2.2 Identify standard and metric designation.</w:t>
            </w:r>
          </w:p>
        </w:tc>
        <w:tc>
          <w:tcPr>
            <w:tcW w:w="3172" w:type="pct"/>
          </w:tcPr>
          <w:p w:rsidR="006718C2" w:rsidRPr="00B325E2" w:rsidRDefault="006718C2" w:rsidP="006718C2"/>
        </w:tc>
      </w:tr>
      <w:tr w:rsidR="006718C2" w:rsidRPr="00904527" w:rsidTr="003439E8">
        <w:trPr>
          <w:trHeight w:val="1160"/>
        </w:trPr>
        <w:tc>
          <w:tcPr>
            <w:tcW w:w="1828" w:type="pct"/>
            <w:noWrap/>
          </w:tcPr>
          <w:p w:rsidR="006718C2" w:rsidRPr="00CA0F84" w:rsidRDefault="006718C2" w:rsidP="006718C2">
            <w:r w:rsidRPr="00CA0F84">
              <w:t>CTE WELD.1.2.3 Demonstrate safe handling and use of appropriate tools.</w:t>
            </w:r>
          </w:p>
        </w:tc>
        <w:tc>
          <w:tcPr>
            <w:tcW w:w="3172" w:type="pct"/>
          </w:tcPr>
          <w:p w:rsidR="006718C2" w:rsidRPr="00B325E2" w:rsidRDefault="006718C2" w:rsidP="006718C2"/>
        </w:tc>
      </w:tr>
      <w:tr w:rsidR="006718C2" w:rsidRPr="00904527" w:rsidTr="003439E8">
        <w:trPr>
          <w:trHeight w:val="1160"/>
        </w:trPr>
        <w:tc>
          <w:tcPr>
            <w:tcW w:w="1828" w:type="pct"/>
            <w:noWrap/>
          </w:tcPr>
          <w:p w:rsidR="006718C2" w:rsidRDefault="006718C2" w:rsidP="006718C2">
            <w:r w:rsidRPr="00CA0F84">
              <w:t>CTE WELD.1.2.4 Demonstrate proper cleaning, storage, and maintenance of tools.</w:t>
            </w:r>
          </w:p>
        </w:tc>
        <w:tc>
          <w:tcPr>
            <w:tcW w:w="3172" w:type="pct"/>
          </w:tcPr>
          <w:p w:rsidR="006718C2" w:rsidRPr="00B325E2" w:rsidRDefault="006718C2" w:rsidP="006718C2"/>
        </w:tc>
      </w:tr>
    </w:tbl>
    <w:p w:rsidR="006718C2" w:rsidRPr="000162C8" w:rsidRDefault="006718C2" w:rsidP="006718C2">
      <w:pPr>
        <w:pStyle w:val="Heading3"/>
        <w:rPr>
          <w:color w:val="auto"/>
        </w:rPr>
      </w:pPr>
      <w:r w:rsidRPr="006718C2">
        <w:rPr>
          <w:rFonts w:eastAsia="Times New Roman"/>
          <w:color w:val="auto"/>
        </w:rPr>
        <w:t>Performance Standard WELD.1.3 Identify and Utilize Power Tools and Equipment</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1.2 table"/>
      </w:tblPr>
      <w:tblGrid>
        <w:gridCol w:w="3373"/>
        <w:gridCol w:w="5854"/>
      </w:tblGrid>
      <w:tr w:rsidR="006718C2" w:rsidRPr="00904527" w:rsidTr="003439E8">
        <w:trPr>
          <w:cnfStyle w:val="100000000000" w:firstRow="1" w:lastRow="0" w:firstColumn="0" w:lastColumn="0" w:oddVBand="0" w:evenVBand="0" w:oddHBand="0" w:evenHBand="0" w:firstRowFirstColumn="0" w:firstRowLastColumn="0" w:lastRowFirstColumn="0" w:lastRowLastColumn="0"/>
          <w:trHeight w:val="88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6718C2" w:rsidRPr="001C565E" w:rsidRDefault="006718C2" w:rsidP="006718C2">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6718C2" w:rsidRPr="001C565E" w:rsidRDefault="006718C2" w:rsidP="006718C2">
            <w:pPr>
              <w:rPr>
                <w:rFonts w:eastAsia="Times New Roman"/>
                <w:b w:val="0"/>
              </w:rPr>
            </w:pPr>
            <w:r w:rsidRPr="001C565E">
              <w:rPr>
                <w:rFonts w:eastAsia="Times New Roman"/>
              </w:rPr>
              <w:t xml:space="preserve">Justification: Provide examples from materials as evidence to support each response for this section. Provide </w:t>
            </w:r>
            <w:r w:rsidR="003439E8">
              <w:rPr>
                <w:rFonts w:eastAsia="Times New Roman"/>
              </w:rPr>
              <w:t>descriptions</w:t>
            </w:r>
            <w:r w:rsidRPr="001C565E">
              <w:rPr>
                <w:rFonts w:eastAsia="Times New Roman"/>
              </w:rPr>
              <w:t>, not just page numbers.</w:t>
            </w:r>
          </w:p>
        </w:tc>
      </w:tr>
      <w:tr w:rsidR="006718C2" w:rsidRPr="00904527" w:rsidTr="003439E8">
        <w:trPr>
          <w:trHeight w:val="881"/>
        </w:trPr>
        <w:tc>
          <w:tcPr>
            <w:tcW w:w="1828" w:type="pct"/>
            <w:tcBorders>
              <w:top w:val="single" w:sz="4" w:space="0" w:color="auto"/>
            </w:tcBorders>
            <w:noWrap/>
          </w:tcPr>
          <w:p w:rsidR="006718C2" w:rsidRPr="00B72E52" w:rsidRDefault="006718C2" w:rsidP="006718C2">
            <w:r w:rsidRPr="00B72E52">
              <w:t>CTE WELD.1.3.1 Identify power tools and equipment, and their appropriate usage.</w:t>
            </w:r>
          </w:p>
        </w:tc>
        <w:tc>
          <w:tcPr>
            <w:tcW w:w="3172" w:type="pct"/>
            <w:tcBorders>
              <w:top w:val="single" w:sz="4" w:space="0" w:color="auto"/>
            </w:tcBorders>
          </w:tcPr>
          <w:p w:rsidR="006718C2" w:rsidRPr="00B325E2" w:rsidRDefault="006718C2" w:rsidP="006718C2"/>
        </w:tc>
      </w:tr>
      <w:tr w:rsidR="006718C2" w:rsidRPr="00904527" w:rsidTr="003439E8">
        <w:trPr>
          <w:trHeight w:val="683"/>
        </w:trPr>
        <w:tc>
          <w:tcPr>
            <w:tcW w:w="1828" w:type="pct"/>
            <w:noWrap/>
          </w:tcPr>
          <w:p w:rsidR="006718C2" w:rsidRPr="00B72E52" w:rsidRDefault="006718C2" w:rsidP="006718C2">
            <w:r w:rsidRPr="00B72E52">
              <w:t>CTE WELD.1.3.2 Demonstrate safe handling and use of appropriate power tools and equipment.</w:t>
            </w:r>
          </w:p>
        </w:tc>
        <w:tc>
          <w:tcPr>
            <w:tcW w:w="3172" w:type="pct"/>
          </w:tcPr>
          <w:p w:rsidR="006718C2" w:rsidRPr="00B325E2" w:rsidRDefault="006718C2" w:rsidP="006718C2"/>
        </w:tc>
      </w:tr>
      <w:tr w:rsidR="006718C2" w:rsidRPr="00904527" w:rsidTr="003439E8">
        <w:trPr>
          <w:trHeight w:val="1160"/>
        </w:trPr>
        <w:tc>
          <w:tcPr>
            <w:tcW w:w="1828" w:type="pct"/>
            <w:noWrap/>
          </w:tcPr>
          <w:p w:rsidR="006718C2" w:rsidRDefault="006718C2" w:rsidP="006718C2">
            <w:r w:rsidRPr="00B72E52">
              <w:t>CTE WELD.1.3.3 Demonstrate proper cleaning, storage, and maintenance of power tools and equipment.</w:t>
            </w:r>
          </w:p>
        </w:tc>
        <w:tc>
          <w:tcPr>
            <w:tcW w:w="3172" w:type="pct"/>
          </w:tcPr>
          <w:p w:rsidR="006718C2" w:rsidRPr="00B325E2" w:rsidRDefault="006718C2" w:rsidP="006718C2"/>
        </w:tc>
      </w:tr>
    </w:tbl>
    <w:p w:rsidR="00A95A66" w:rsidRDefault="00A95A66">
      <w:pPr>
        <w:rPr>
          <w:rStyle w:val="IntenseEmphasis"/>
          <w:color w:val="417FD0" w:themeColor="text2" w:themeTint="99"/>
          <w:sz w:val="28"/>
          <w:szCs w:val="28"/>
        </w:rPr>
      </w:pPr>
      <w:r>
        <w:rPr>
          <w:rStyle w:val="IntenseEmphasis"/>
          <w:color w:val="417FD0" w:themeColor="text2" w:themeTint="99"/>
          <w:sz w:val="28"/>
          <w:szCs w:val="28"/>
        </w:rPr>
        <w:lastRenderedPageBreak/>
        <w:br w:type="page"/>
      </w:r>
    </w:p>
    <w:p w:rsidR="00DE1415" w:rsidRDefault="006718C2" w:rsidP="00DE1415">
      <w:pPr>
        <w:rPr>
          <w:rStyle w:val="IntenseEmphasis"/>
          <w:b w:val="0"/>
          <w:color w:val="417FD0" w:themeColor="text2" w:themeTint="99"/>
          <w:sz w:val="28"/>
          <w:szCs w:val="28"/>
        </w:rPr>
      </w:pPr>
      <w:r w:rsidRPr="006718C2">
        <w:rPr>
          <w:rStyle w:val="IntenseEmphasis"/>
          <w:color w:val="417FD0" w:themeColor="text2" w:themeTint="99"/>
          <w:sz w:val="28"/>
          <w:szCs w:val="28"/>
        </w:rPr>
        <w:lastRenderedPageBreak/>
        <w:t>Standard WELD.2.0: Apply Fundamental Print Reading, Measurement, and Layout/Fit-Up Techniques</w:t>
      </w:r>
    </w:p>
    <w:p w:rsidR="00FE7526" w:rsidRPr="000162C8" w:rsidRDefault="006718C2" w:rsidP="000162C8">
      <w:pPr>
        <w:pStyle w:val="Heading3"/>
        <w:rPr>
          <w:color w:val="auto"/>
        </w:rPr>
      </w:pPr>
      <w:r w:rsidRPr="006718C2">
        <w:rPr>
          <w:rFonts w:eastAsia="Times New Roman"/>
          <w:color w:val="auto"/>
        </w:rPr>
        <w:t>Performance Standard WELD.2.1 Demonstrate Print Reading and Sketching Practices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1 table"/>
      </w:tblPr>
      <w:tblGrid>
        <w:gridCol w:w="3373"/>
        <w:gridCol w:w="5854"/>
      </w:tblGrid>
      <w:tr w:rsidR="00FE7526" w:rsidRPr="001C565E" w:rsidTr="003439E8">
        <w:trPr>
          <w:cnfStyle w:val="100000000000" w:firstRow="1" w:lastRow="0" w:firstColumn="0" w:lastColumn="0" w:oddVBand="0" w:evenVBand="0" w:oddHBand="0" w:evenHBand="0" w:firstRowFirstColumn="0" w:firstRowLastColumn="0" w:lastRowFirstColumn="0" w:lastRowLastColumn="0"/>
          <w:trHeight w:val="312"/>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1C565E" w:rsidRDefault="00FE7526" w:rsidP="003411D8">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1C565E" w:rsidRDefault="00FE7526" w:rsidP="003411D8">
            <w:pPr>
              <w:rPr>
                <w:rFonts w:eastAsia="Times New Roman"/>
                <w:b w:val="0"/>
              </w:rPr>
            </w:pPr>
            <w:r w:rsidRPr="001C565E">
              <w:rPr>
                <w:rFonts w:eastAsia="Times New Roman"/>
              </w:rPr>
              <w:t xml:space="preserve">Justification: Provide examples from materials as evidence to support each response for this section. Provide </w:t>
            </w:r>
            <w:r w:rsidR="003439E8">
              <w:rPr>
                <w:rFonts w:eastAsia="Times New Roman"/>
              </w:rPr>
              <w:t>descriptions</w:t>
            </w:r>
            <w:r w:rsidRPr="001C565E">
              <w:rPr>
                <w:rFonts w:eastAsia="Times New Roman"/>
              </w:rPr>
              <w:t>, not just page numbers.</w:t>
            </w:r>
          </w:p>
        </w:tc>
      </w:tr>
      <w:tr w:rsidR="006718C2" w:rsidRPr="00904527" w:rsidTr="003439E8">
        <w:trPr>
          <w:trHeight w:val="1025"/>
        </w:trPr>
        <w:tc>
          <w:tcPr>
            <w:tcW w:w="1828" w:type="pct"/>
            <w:tcBorders>
              <w:top w:val="single" w:sz="4" w:space="0" w:color="auto"/>
            </w:tcBorders>
            <w:noWrap/>
          </w:tcPr>
          <w:p w:rsidR="006718C2" w:rsidRPr="0090041C" w:rsidRDefault="006718C2" w:rsidP="006718C2">
            <w:r w:rsidRPr="0090041C">
              <w:t>CTE WELD.2.1.1 Interpret basic elements of a technical drawing (i.e., title block information, dimensions, line types).</w:t>
            </w:r>
          </w:p>
        </w:tc>
        <w:tc>
          <w:tcPr>
            <w:tcW w:w="3172" w:type="pct"/>
            <w:tcBorders>
              <w:top w:val="single" w:sz="4" w:space="0" w:color="auto"/>
            </w:tcBorders>
          </w:tcPr>
          <w:p w:rsidR="006718C2" w:rsidRPr="00B325E2" w:rsidRDefault="006718C2" w:rsidP="006718C2"/>
        </w:tc>
      </w:tr>
      <w:tr w:rsidR="006718C2" w:rsidRPr="00904527" w:rsidTr="003439E8">
        <w:trPr>
          <w:trHeight w:val="611"/>
        </w:trPr>
        <w:tc>
          <w:tcPr>
            <w:tcW w:w="1828" w:type="pct"/>
            <w:noWrap/>
          </w:tcPr>
          <w:p w:rsidR="006718C2" w:rsidRPr="0090041C" w:rsidRDefault="006718C2" w:rsidP="006718C2">
            <w:r w:rsidRPr="0090041C">
              <w:t>CTE WELD.2.1.2 Identify and explain industry standard welding symbols.</w:t>
            </w:r>
          </w:p>
        </w:tc>
        <w:tc>
          <w:tcPr>
            <w:tcW w:w="3172" w:type="pct"/>
          </w:tcPr>
          <w:p w:rsidR="006718C2" w:rsidRPr="00B325E2" w:rsidRDefault="006718C2" w:rsidP="006718C2"/>
        </w:tc>
      </w:tr>
      <w:tr w:rsidR="006718C2" w:rsidRPr="00904527" w:rsidTr="003439E8">
        <w:trPr>
          <w:trHeight w:val="611"/>
        </w:trPr>
        <w:tc>
          <w:tcPr>
            <w:tcW w:w="1828" w:type="pct"/>
            <w:noWrap/>
          </w:tcPr>
          <w:p w:rsidR="006718C2" w:rsidRPr="0090041C" w:rsidRDefault="006718C2" w:rsidP="006718C2">
            <w:r w:rsidRPr="0090041C">
              <w:t>CTE WELD.2.1.3 Prepare a materials list from a technical drawing (i.e., bill of material).</w:t>
            </w:r>
          </w:p>
        </w:tc>
        <w:tc>
          <w:tcPr>
            <w:tcW w:w="3172" w:type="pct"/>
          </w:tcPr>
          <w:p w:rsidR="006718C2" w:rsidRPr="00B325E2" w:rsidRDefault="006718C2" w:rsidP="006718C2"/>
        </w:tc>
      </w:tr>
      <w:tr w:rsidR="006718C2" w:rsidRPr="00904527" w:rsidTr="003439E8">
        <w:trPr>
          <w:trHeight w:val="611"/>
        </w:trPr>
        <w:tc>
          <w:tcPr>
            <w:tcW w:w="1828" w:type="pct"/>
            <w:noWrap/>
          </w:tcPr>
          <w:p w:rsidR="006718C2" w:rsidRPr="0090041C" w:rsidRDefault="006718C2" w:rsidP="006718C2">
            <w:r w:rsidRPr="0090041C">
              <w:t>CTE WELD.2.1.4 Describe various types of drawings (i.e., part, assembly, pictorial, orthographic, isometric, and schematic).</w:t>
            </w:r>
          </w:p>
        </w:tc>
        <w:tc>
          <w:tcPr>
            <w:tcW w:w="3172" w:type="pct"/>
          </w:tcPr>
          <w:p w:rsidR="006718C2" w:rsidRPr="00B325E2" w:rsidRDefault="006718C2" w:rsidP="006718C2"/>
        </w:tc>
      </w:tr>
      <w:tr w:rsidR="006718C2" w:rsidRPr="00904527" w:rsidTr="003439E8">
        <w:trPr>
          <w:trHeight w:val="611"/>
        </w:trPr>
        <w:tc>
          <w:tcPr>
            <w:tcW w:w="1828" w:type="pct"/>
            <w:noWrap/>
          </w:tcPr>
          <w:p w:rsidR="006718C2" w:rsidRPr="0090041C" w:rsidRDefault="006718C2" w:rsidP="006718C2">
            <w:r w:rsidRPr="0090041C">
              <w:t>CTE WELD.2.1.5 Understand dimensioning, sectional drawings, fasteners, tables, charts, and assembly drawings.</w:t>
            </w:r>
          </w:p>
        </w:tc>
        <w:tc>
          <w:tcPr>
            <w:tcW w:w="3172" w:type="pct"/>
          </w:tcPr>
          <w:p w:rsidR="006718C2" w:rsidRPr="00B325E2" w:rsidRDefault="006718C2" w:rsidP="006718C2"/>
        </w:tc>
      </w:tr>
      <w:tr w:rsidR="006718C2" w:rsidRPr="00904527" w:rsidTr="003439E8">
        <w:trPr>
          <w:trHeight w:val="611"/>
        </w:trPr>
        <w:tc>
          <w:tcPr>
            <w:tcW w:w="1828" w:type="pct"/>
            <w:noWrap/>
          </w:tcPr>
          <w:p w:rsidR="006718C2" w:rsidRPr="0090041C" w:rsidRDefault="006718C2" w:rsidP="006718C2">
            <w:r w:rsidRPr="0090041C">
              <w:t>CTE WELD.2.1.6 Sketch or draw a basic welding drawing.</w:t>
            </w:r>
          </w:p>
        </w:tc>
        <w:tc>
          <w:tcPr>
            <w:tcW w:w="3172" w:type="pct"/>
          </w:tcPr>
          <w:p w:rsidR="006718C2" w:rsidRPr="00B325E2" w:rsidRDefault="006718C2" w:rsidP="006718C2"/>
        </w:tc>
      </w:tr>
      <w:tr w:rsidR="006718C2" w:rsidRPr="00904527" w:rsidTr="003439E8">
        <w:trPr>
          <w:trHeight w:val="611"/>
        </w:trPr>
        <w:tc>
          <w:tcPr>
            <w:tcW w:w="1828" w:type="pct"/>
            <w:noWrap/>
          </w:tcPr>
          <w:p w:rsidR="006718C2" w:rsidRDefault="006718C2" w:rsidP="006718C2">
            <w:r w:rsidRPr="0090041C">
              <w:t>CTE WELD.2.1.7 Fabricate parts from a drawing or sketch.</w:t>
            </w:r>
          </w:p>
        </w:tc>
        <w:tc>
          <w:tcPr>
            <w:tcW w:w="3172" w:type="pct"/>
          </w:tcPr>
          <w:p w:rsidR="006718C2" w:rsidRPr="00B325E2" w:rsidRDefault="006718C2" w:rsidP="006718C2"/>
        </w:tc>
      </w:tr>
    </w:tbl>
    <w:p w:rsidR="000162C8" w:rsidRPr="000162C8" w:rsidRDefault="006718C2" w:rsidP="000162C8">
      <w:pPr>
        <w:pStyle w:val="Heading3"/>
        <w:rPr>
          <w:color w:val="auto"/>
        </w:rPr>
      </w:pPr>
      <w:r w:rsidRPr="006718C2">
        <w:rPr>
          <w:rFonts w:eastAsia="Times New Roman"/>
          <w:color w:val="auto"/>
        </w:rPr>
        <w:lastRenderedPageBreak/>
        <w:t>Performance Standard WELD.2.2 Demonstrate Measuring and Scaling Techniques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2.2 table"/>
      </w:tblPr>
      <w:tblGrid>
        <w:gridCol w:w="3373"/>
        <w:gridCol w:w="5854"/>
      </w:tblGrid>
      <w:tr w:rsidR="00A95A66" w:rsidRPr="00675B10" w:rsidTr="003439E8">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3439E8">
              <w:rPr>
                <w:rFonts w:eastAsia="Times New Roman"/>
              </w:rPr>
              <w:t>descriptions</w:t>
            </w:r>
            <w:r w:rsidRPr="001C565E">
              <w:rPr>
                <w:rFonts w:eastAsia="Times New Roman"/>
              </w:rPr>
              <w:t>, not just page numbers.</w:t>
            </w:r>
          </w:p>
        </w:tc>
      </w:tr>
      <w:tr w:rsidR="006718C2" w:rsidRPr="00675B10" w:rsidTr="003439E8">
        <w:trPr>
          <w:trHeight w:val="611"/>
        </w:trPr>
        <w:tc>
          <w:tcPr>
            <w:tcW w:w="1828" w:type="pct"/>
            <w:tcBorders>
              <w:top w:val="single" w:sz="4" w:space="0" w:color="auto"/>
            </w:tcBorders>
            <w:noWrap/>
          </w:tcPr>
          <w:p w:rsidR="006718C2" w:rsidRPr="00F273D7" w:rsidRDefault="006718C2" w:rsidP="006718C2">
            <w:r w:rsidRPr="00F273D7">
              <w:t>CTE WELD.2.2.1 Identify industry standard units of measure.</w:t>
            </w:r>
          </w:p>
        </w:tc>
        <w:tc>
          <w:tcPr>
            <w:tcW w:w="3172" w:type="pct"/>
            <w:tcBorders>
              <w:top w:val="single" w:sz="4" w:space="0" w:color="auto"/>
            </w:tcBorders>
          </w:tcPr>
          <w:p w:rsidR="006718C2" w:rsidRPr="00675B10" w:rsidRDefault="006718C2" w:rsidP="006718C2"/>
        </w:tc>
      </w:tr>
      <w:tr w:rsidR="006718C2" w:rsidRPr="00675B10" w:rsidTr="003439E8">
        <w:trPr>
          <w:trHeight w:val="611"/>
        </w:trPr>
        <w:tc>
          <w:tcPr>
            <w:tcW w:w="1828" w:type="pct"/>
            <w:noWrap/>
          </w:tcPr>
          <w:p w:rsidR="006718C2" w:rsidRPr="00F273D7" w:rsidRDefault="006718C2" w:rsidP="006718C2">
            <w:r w:rsidRPr="00F273D7">
              <w:t>CTE WELD.2.2.2 Convert between customary (i.e., SAE, Imperial) and metric systems.</w:t>
            </w:r>
          </w:p>
        </w:tc>
        <w:tc>
          <w:tcPr>
            <w:tcW w:w="3172" w:type="pct"/>
          </w:tcPr>
          <w:p w:rsidR="006718C2" w:rsidRPr="00675B10" w:rsidRDefault="006718C2" w:rsidP="006718C2"/>
        </w:tc>
      </w:tr>
      <w:tr w:rsidR="006718C2" w:rsidRPr="00675B10" w:rsidTr="003439E8">
        <w:trPr>
          <w:trHeight w:val="611"/>
        </w:trPr>
        <w:tc>
          <w:tcPr>
            <w:tcW w:w="1828" w:type="pct"/>
            <w:noWrap/>
          </w:tcPr>
          <w:p w:rsidR="006718C2" w:rsidRPr="00F273D7" w:rsidRDefault="006718C2" w:rsidP="006718C2">
            <w:r w:rsidRPr="00F273D7">
              <w:t>CTE WELD.2.2.3 Measure and calculate size, area, and volume.</w:t>
            </w:r>
          </w:p>
        </w:tc>
        <w:tc>
          <w:tcPr>
            <w:tcW w:w="3172" w:type="pct"/>
          </w:tcPr>
          <w:p w:rsidR="006718C2" w:rsidRPr="00675B10" w:rsidRDefault="006718C2" w:rsidP="006718C2"/>
        </w:tc>
      </w:tr>
      <w:tr w:rsidR="006718C2" w:rsidRPr="00675B10" w:rsidTr="003439E8">
        <w:trPr>
          <w:trHeight w:val="611"/>
        </w:trPr>
        <w:tc>
          <w:tcPr>
            <w:tcW w:w="1828" w:type="pct"/>
            <w:noWrap/>
          </w:tcPr>
          <w:p w:rsidR="006718C2" w:rsidRPr="00F273D7" w:rsidRDefault="006718C2" w:rsidP="006718C2">
            <w:r w:rsidRPr="00F273D7">
              <w:t>CTE WELD.2.2.4 Determine and apply the equivalence between fractions and decimals.</w:t>
            </w:r>
          </w:p>
        </w:tc>
        <w:tc>
          <w:tcPr>
            <w:tcW w:w="3172" w:type="pct"/>
          </w:tcPr>
          <w:p w:rsidR="006718C2" w:rsidRPr="00675B10" w:rsidRDefault="006718C2" w:rsidP="006718C2"/>
        </w:tc>
      </w:tr>
      <w:tr w:rsidR="006718C2" w:rsidRPr="00675B10" w:rsidTr="003439E8">
        <w:trPr>
          <w:trHeight w:val="611"/>
        </w:trPr>
        <w:tc>
          <w:tcPr>
            <w:tcW w:w="1828" w:type="pct"/>
            <w:noWrap/>
          </w:tcPr>
          <w:p w:rsidR="006718C2" w:rsidRDefault="006718C2" w:rsidP="006718C2">
            <w:r w:rsidRPr="00F273D7">
              <w:t>CTE WELD.2.2.5 Identify measuring tools.</w:t>
            </w:r>
          </w:p>
        </w:tc>
        <w:tc>
          <w:tcPr>
            <w:tcW w:w="3172" w:type="pct"/>
          </w:tcPr>
          <w:p w:rsidR="006718C2" w:rsidRPr="00675B10" w:rsidRDefault="006718C2" w:rsidP="006718C2"/>
        </w:tc>
      </w:tr>
    </w:tbl>
    <w:p w:rsidR="000162C8" w:rsidRPr="000162C8" w:rsidRDefault="006718C2" w:rsidP="000162C8">
      <w:pPr>
        <w:pStyle w:val="Heading3"/>
        <w:rPr>
          <w:color w:val="auto"/>
        </w:rPr>
      </w:pPr>
      <w:r w:rsidRPr="006718C2">
        <w:rPr>
          <w:rFonts w:eastAsia="Times New Roman"/>
          <w:color w:val="auto"/>
        </w:rPr>
        <w:t>Performance Standard WELD.2.3 Utilize Layout Principles and Practices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A95A66" w:rsidRPr="00675B10" w:rsidTr="003439E8">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1C565E" w:rsidRDefault="00A95A66" w:rsidP="00A95A66">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1C565E" w:rsidRDefault="00A95A66" w:rsidP="00A95A66">
            <w:pPr>
              <w:rPr>
                <w:rFonts w:eastAsia="Times New Roman"/>
                <w:b w:val="0"/>
              </w:rPr>
            </w:pPr>
            <w:r w:rsidRPr="001C565E">
              <w:rPr>
                <w:rFonts w:eastAsia="Times New Roman"/>
              </w:rPr>
              <w:t xml:space="preserve">Justification: Provide examples from materials as evidence to support each response for this section. Provide </w:t>
            </w:r>
            <w:r w:rsidR="003439E8">
              <w:rPr>
                <w:rFonts w:eastAsia="Times New Roman"/>
              </w:rPr>
              <w:t>descriptions</w:t>
            </w:r>
            <w:r w:rsidRPr="001C565E">
              <w:rPr>
                <w:rFonts w:eastAsia="Times New Roman"/>
              </w:rPr>
              <w:t>, not just page numbers.</w:t>
            </w:r>
          </w:p>
        </w:tc>
      </w:tr>
      <w:tr w:rsidR="006718C2" w:rsidRPr="00675B10" w:rsidTr="003439E8">
        <w:trPr>
          <w:trHeight w:val="1052"/>
        </w:trPr>
        <w:tc>
          <w:tcPr>
            <w:tcW w:w="1828" w:type="pct"/>
            <w:tcBorders>
              <w:top w:val="single" w:sz="4" w:space="0" w:color="auto"/>
            </w:tcBorders>
            <w:noWrap/>
          </w:tcPr>
          <w:p w:rsidR="006718C2" w:rsidRPr="000F5B5D" w:rsidRDefault="006718C2" w:rsidP="006718C2">
            <w:r w:rsidRPr="000F5B5D">
              <w:t>CTE WELD.2.3.1 Interpret drawing, sketch or specification information.</w:t>
            </w:r>
          </w:p>
        </w:tc>
        <w:tc>
          <w:tcPr>
            <w:tcW w:w="3172" w:type="pct"/>
            <w:tcBorders>
              <w:top w:val="single" w:sz="4" w:space="0" w:color="auto"/>
            </w:tcBorders>
          </w:tcPr>
          <w:p w:rsidR="006718C2" w:rsidRPr="00675B10" w:rsidRDefault="006718C2" w:rsidP="006718C2"/>
        </w:tc>
      </w:tr>
      <w:tr w:rsidR="006718C2" w:rsidRPr="00675B10" w:rsidTr="003439E8">
        <w:trPr>
          <w:trHeight w:val="611"/>
        </w:trPr>
        <w:tc>
          <w:tcPr>
            <w:tcW w:w="1828" w:type="pct"/>
            <w:noWrap/>
          </w:tcPr>
          <w:p w:rsidR="006718C2" w:rsidRPr="000F5B5D" w:rsidRDefault="006718C2" w:rsidP="006718C2">
            <w:r w:rsidRPr="000F5B5D">
              <w:t>CTE WELD.1.3.2 Prepare work area for layout.</w:t>
            </w:r>
          </w:p>
        </w:tc>
        <w:tc>
          <w:tcPr>
            <w:tcW w:w="3172" w:type="pct"/>
          </w:tcPr>
          <w:p w:rsidR="006718C2" w:rsidRPr="00675B10" w:rsidRDefault="006718C2" w:rsidP="006718C2"/>
        </w:tc>
      </w:tr>
      <w:tr w:rsidR="006718C2" w:rsidRPr="00675B10" w:rsidTr="003439E8">
        <w:trPr>
          <w:trHeight w:val="611"/>
        </w:trPr>
        <w:tc>
          <w:tcPr>
            <w:tcW w:w="1828" w:type="pct"/>
            <w:noWrap/>
          </w:tcPr>
          <w:p w:rsidR="006718C2" w:rsidRPr="000F5B5D" w:rsidRDefault="006718C2" w:rsidP="006718C2">
            <w:r w:rsidRPr="000F5B5D">
              <w:t>CTE WELD.2.3.3 Select appropriate materials to complete work assignment.</w:t>
            </w:r>
          </w:p>
        </w:tc>
        <w:tc>
          <w:tcPr>
            <w:tcW w:w="3172" w:type="pct"/>
          </w:tcPr>
          <w:p w:rsidR="006718C2" w:rsidRPr="00675B10" w:rsidRDefault="006718C2" w:rsidP="006718C2"/>
        </w:tc>
      </w:tr>
      <w:tr w:rsidR="006718C2" w:rsidRPr="00675B10" w:rsidTr="003439E8">
        <w:trPr>
          <w:trHeight w:val="611"/>
        </w:trPr>
        <w:tc>
          <w:tcPr>
            <w:tcW w:w="1828" w:type="pct"/>
            <w:noWrap/>
          </w:tcPr>
          <w:p w:rsidR="006718C2" w:rsidRPr="000F5B5D" w:rsidRDefault="006718C2" w:rsidP="006718C2">
            <w:r w:rsidRPr="000F5B5D">
              <w:t>CTE WELD.2.3.4 Use layout and marking tools as required.</w:t>
            </w:r>
          </w:p>
        </w:tc>
        <w:tc>
          <w:tcPr>
            <w:tcW w:w="3172" w:type="pct"/>
          </w:tcPr>
          <w:p w:rsidR="006718C2" w:rsidRPr="00675B10" w:rsidRDefault="006718C2" w:rsidP="006718C2"/>
        </w:tc>
      </w:tr>
      <w:tr w:rsidR="006718C2" w:rsidRPr="00675B10" w:rsidTr="003439E8">
        <w:trPr>
          <w:trHeight w:val="611"/>
        </w:trPr>
        <w:tc>
          <w:tcPr>
            <w:tcW w:w="1828" w:type="pct"/>
            <w:noWrap/>
          </w:tcPr>
          <w:p w:rsidR="006718C2" w:rsidRDefault="006718C2" w:rsidP="006718C2">
            <w:r w:rsidRPr="000F5B5D">
              <w:lastRenderedPageBreak/>
              <w:t>CTE WELD.2.3.5 Layout parts using measurement practices.</w:t>
            </w:r>
          </w:p>
        </w:tc>
        <w:tc>
          <w:tcPr>
            <w:tcW w:w="3172" w:type="pct"/>
          </w:tcPr>
          <w:p w:rsidR="006718C2" w:rsidRPr="00675B10" w:rsidRDefault="006718C2" w:rsidP="006718C2"/>
        </w:tc>
      </w:tr>
    </w:tbl>
    <w:p w:rsidR="006718C2" w:rsidRPr="000162C8" w:rsidRDefault="006718C2" w:rsidP="006718C2">
      <w:pPr>
        <w:pStyle w:val="Heading3"/>
        <w:rPr>
          <w:color w:val="auto"/>
        </w:rPr>
      </w:pPr>
      <w:r w:rsidRPr="006718C2">
        <w:rPr>
          <w:rFonts w:eastAsia="Times New Roman"/>
          <w:color w:val="auto"/>
        </w:rPr>
        <w:t xml:space="preserve">Performance Standard WELD.2.4 Demonstrate </w:t>
      </w:r>
      <w:r w:rsidR="00754BFA" w:rsidRPr="006718C2">
        <w:rPr>
          <w:rFonts w:eastAsia="Times New Roman"/>
          <w:color w:val="auto"/>
        </w:rPr>
        <w:t>Preparation and Fit-Up Practices</w:t>
      </w:r>
    </w:p>
    <w:tbl>
      <w:tblPr>
        <w:tblStyle w:val="ProposalTable"/>
        <w:tblW w:w="4934"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2.3 table"/>
      </w:tblPr>
      <w:tblGrid>
        <w:gridCol w:w="3373"/>
        <w:gridCol w:w="5854"/>
      </w:tblGrid>
      <w:tr w:rsidR="006718C2" w:rsidRPr="00675B10" w:rsidTr="003439E8">
        <w:trPr>
          <w:cnfStyle w:val="100000000000" w:firstRow="1" w:lastRow="0" w:firstColumn="0" w:lastColumn="0" w:oddVBand="0" w:evenVBand="0" w:oddHBand="0" w:evenHBand="0" w:firstRowFirstColumn="0" w:firstRowLastColumn="0" w:lastRowFirstColumn="0" w:lastRowLastColumn="0"/>
          <w:trHeight w:val="611"/>
        </w:trPr>
        <w:tc>
          <w:tcPr>
            <w:tcW w:w="1828"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6718C2" w:rsidRPr="001C565E" w:rsidRDefault="006718C2" w:rsidP="006718C2">
            <w:pPr>
              <w:rPr>
                <w:rFonts w:eastAsia="Times New Roman"/>
                <w:b w:val="0"/>
              </w:rPr>
            </w:pPr>
            <w:r>
              <w:rPr>
                <w:rFonts w:eastAsia="Times New Roman"/>
              </w:rPr>
              <w:t>Student Competencies by Performance Standard</w:t>
            </w:r>
          </w:p>
        </w:tc>
        <w:tc>
          <w:tcPr>
            <w:tcW w:w="3172"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6718C2" w:rsidRPr="001C565E" w:rsidRDefault="006718C2" w:rsidP="006718C2">
            <w:pPr>
              <w:rPr>
                <w:rFonts w:eastAsia="Times New Roman"/>
                <w:b w:val="0"/>
              </w:rPr>
            </w:pPr>
            <w:r w:rsidRPr="001C565E">
              <w:rPr>
                <w:rFonts w:eastAsia="Times New Roman"/>
              </w:rPr>
              <w:t xml:space="preserve">Justification: Provide examples from materials as evidence to support each response for this section. Provide </w:t>
            </w:r>
            <w:r w:rsidR="003439E8">
              <w:rPr>
                <w:rFonts w:eastAsia="Times New Roman"/>
              </w:rPr>
              <w:t>descriptions</w:t>
            </w:r>
            <w:r w:rsidRPr="001C565E">
              <w:rPr>
                <w:rFonts w:eastAsia="Times New Roman"/>
              </w:rPr>
              <w:t>, not just page numbers.</w:t>
            </w:r>
          </w:p>
        </w:tc>
      </w:tr>
      <w:tr w:rsidR="00754BFA" w:rsidRPr="00675B10" w:rsidTr="003439E8">
        <w:trPr>
          <w:trHeight w:val="611"/>
        </w:trPr>
        <w:tc>
          <w:tcPr>
            <w:tcW w:w="1828" w:type="pct"/>
            <w:tcBorders>
              <w:top w:val="single" w:sz="4" w:space="0" w:color="auto"/>
            </w:tcBorders>
            <w:noWrap/>
          </w:tcPr>
          <w:p w:rsidR="00754BFA" w:rsidRPr="000568DF" w:rsidRDefault="00754BFA" w:rsidP="00754BFA">
            <w:r w:rsidRPr="000568DF">
              <w:t>CTE WELD.2.4.1 Identify and explain job specifications.</w:t>
            </w:r>
          </w:p>
        </w:tc>
        <w:tc>
          <w:tcPr>
            <w:tcW w:w="3172" w:type="pct"/>
            <w:tcBorders>
              <w:top w:val="single" w:sz="4" w:space="0" w:color="auto"/>
            </w:tcBorders>
          </w:tcPr>
          <w:p w:rsidR="00754BFA" w:rsidRPr="00675B10" w:rsidRDefault="00754BFA" w:rsidP="00754BFA"/>
        </w:tc>
      </w:tr>
      <w:tr w:rsidR="00754BFA" w:rsidRPr="00675B10" w:rsidTr="003439E8">
        <w:trPr>
          <w:trHeight w:val="611"/>
        </w:trPr>
        <w:tc>
          <w:tcPr>
            <w:tcW w:w="1828" w:type="pct"/>
            <w:noWrap/>
          </w:tcPr>
          <w:p w:rsidR="00754BFA" w:rsidRPr="000568DF" w:rsidRDefault="00754BFA" w:rsidP="00754BFA">
            <w:r w:rsidRPr="000568DF">
              <w:t>CTE WELD.2.4.2 Use fit-up gauges and measuring devices to check joint fit-up.</w:t>
            </w:r>
          </w:p>
        </w:tc>
        <w:tc>
          <w:tcPr>
            <w:tcW w:w="3172" w:type="pct"/>
          </w:tcPr>
          <w:p w:rsidR="00754BFA" w:rsidRPr="00675B10" w:rsidRDefault="00754BFA" w:rsidP="00754BFA"/>
        </w:tc>
      </w:tr>
      <w:tr w:rsidR="00754BFA" w:rsidRPr="00675B10" w:rsidTr="003439E8">
        <w:trPr>
          <w:trHeight w:val="611"/>
        </w:trPr>
        <w:tc>
          <w:tcPr>
            <w:tcW w:w="1828" w:type="pct"/>
            <w:noWrap/>
          </w:tcPr>
          <w:p w:rsidR="00754BFA" w:rsidRPr="000568DF" w:rsidRDefault="00754BFA" w:rsidP="00754BFA">
            <w:r w:rsidRPr="000568DF">
              <w:t>CTE WELD.2.4.3 Identify and explain distortion and how it is controlled.</w:t>
            </w:r>
          </w:p>
        </w:tc>
        <w:tc>
          <w:tcPr>
            <w:tcW w:w="3172" w:type="pct"/>
          </w:tcPr>
          <w:p w:rsidR="00754BFA" w:rsidRPr="00675B10" w:rsidRDefault="00754BFA" w:rsidP="00754BFA"/>
        </w:tc>
      </w:tr>
      <w:tr w:rsidR="00754BFA" w:rsidRPr="00675B10" w:rsidTr="003439E8">
        <w:trPr>
          <w:trHeight w:val="611"/>
        </w:trPr>
        <w:tc>
          <w:tcPr>
            <w:tcW w:w="1828" w:type="pct"/>
            <w:noWrap/>
          </w:tcPr>
          <w:p w:rsidR="00754BFA" w:rsidRPr="000568DF" w:rsidRDefault="00754BFA" w:rsidP="00754BFA">
            <w:r w:rsidRPr="000568DF">
              <w:t>CTE WELD.2.4.4 Fit-up joints using plate and pipe fit-up tools.</w:t>
            </w:r>
          </w:p>
        </w:tc>
        <w:tc>
          <w:tcPr>
            <w:tcW w:w="3172" w:type="pct"/>
          </w:tcPr>
          <w:p w:rsidR="00754BFA" w:rsidRPr="00675B10" w:rsidRDefault="00754BFA" w:rsidP="00754BFA"/>
        </w:tc>
      </w:tr>
      <w:tr w:rsidR="00754BFA" w:rsidRPr="00675B10" w:rsidTr="003439E8">
        <w:trPr>
          <w:trHeight w:val="611"/>
        </w:trPr>
        <w:tc>
          <w:tcPr>
            <w:tcW w:w="1828" w:type="pct"/>
            <w:noWrap/>
          </w:tcPr>
          <w:p w:rsidR="00754BFA" w:rsidRDefault="00754BFA" w:rsidP="00754BFA">
            <w:r w:rsidRPr="000568DF">
              <w:t>CTE WELD.2.4.5 Check for joint misalignment and poor fit-up before and after welding.</w:t>
            </w:r>
          </w:p>
        </w:tc>
        <w:tc>
          <w:tcPr>
            <w:tcW w:w="3172" w:type="pct"/>
          </w:tcPr>
          <w:p w:rsidR="00754BFA" w:rsidRPr="00675B10" w:rsidRDefault="00754BFA" w:rsidP="00754BFA"/>
        </w:tc>
      </w:tr>
    </w:tbl>
    <w:p w:rsidR="00FE7526" w:rsidRDefault="00FE7526" w:rsidP="00FE7526"/>
    <w:p w:rsidR="00FE7526" w:rsidRDefault="00FE7526" w:rsidP="00FE7526">
      <w:pPr>
        <w:rPr>
          <w:rStyle w:val="IntenseEmphasis"/>
          <w:b w:val="0"/>
          <w:color w:val="417FD0" w:themeColor="text2" w:themeTint="99"/>
          <w:sz w:val="28"/>
          <w:szCs w:val="28"/>
        </w:rPr>
      </w:pPr>
    </w:p>
    <w:p w:rsidR="00A95A66" w:rsidRDefault="00A95A66">
      <w:pPr>
        <w:rPr>
          <w:rStyle w:val="IntenseEmphasis"/>
          <w:color w:val="417FD0" w:themeColor="text2" w:themeTint="99"/>
          <w:sz w:val="28"/>
          <w:szCs w:val="28"/>
        </w:rPr>
      </w:pPr>
      <w:r>
        <w:rPr>
          <w:rStyle w:val="IntenseEmphasis"/>
          <w:color w:val="417FD0" w:themeColor="text2" w:themeTint="99"/>
          <w:sz w:val="28"/>
          <w:szCs w:val="28"/>
        </w:rPr>
        <w:br w:type="page"/>
      </w:r>
    </w:p>
    <w:p w:rsidR="00B45EF1" w:rsidRDefault="00754BFA" w:rsidP="00895824">
      <w:pPr>
        <w:pStyle w:val="Heading3"/>
        <w:rPr>
          <w:rStyle w:val="IntenseEmphasis"/>
          <w:rFonts w:eastAsiaTheme="minorHAnsi" w:cstheme="minorBidi"/>
          <w:b/>
          <w:color w:val="417FD0" w:themeColor="text2" w:themeTint="99"/>
          <w:sz w:val="28"/>
          <w:szCs w:val="28"/>
        </w:rPr>
      </w:pPr>
      <w:r w:rsidRPr="00754BFA">
        <w:rPr>
          <w:rStyle w:val="IntenseEmphasis"/>
          <w:rFonts w:eastAsiaTheme="minorHAnsi" w:cstheme="minorBidi"/>
          <w:b/>
          <w:color w:val="417FD0" w:themeColor="text2" w:themeTint="99"/>
          <w:sz w:val="28"/>
          <w:szCs w:val="28"/>
        </w:rPr>
        <w:lastRenderedPageBreak/>
        <w:t>Standard WELD.3.0: Identify Properties of Metals</w:t>
      </w:r>
    </w:p>
    <w:p w:rsidR="00FE7526" w:rsidRPr="00895824" w:rsidRDefault="00754BFA" w:rsidP="00895824">
      <w:pPr>
        <w:pStyle w:val="Heading3"/>
        <w:rPr>
          <w:iCs/>
          <w:caps/>
          <w:color w:val="auto"/>
          <w:sz w:val="28"/>
          <w:szCs w:val="28"/>
        </w:rPr>
      </w:pPr>
      <w:r w:rsidRPr="00754BFA">
        <w:rPr>
          <w:rFonts w:eastAsia="Times New Roman"/>
          <w:color w:val="auto"/>
        </w:rPr>
        <w:t>Performance Standard WELD.3.1 Identify Material Properties and Science</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FE7526" w:rsidRPr="001C565E" w:rsidTr="003439E8">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3439E8" w:rsidRDefault="00FE7526" w:rsidP="003411D8">
            <w:pPr>
              <w:rPr>
                <w:rFonts w:eastAsia="Times New Roman"/>
              </w:rPr>
            </w:pPr>
            <w:r w:rsidRPr="003439E8">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3439E8" w:rsidRDefault="00FE7526" w:rsidP="003411D8">
            <w:pPr>
              <w:rPr>
                <w:rFonts w:eastAsia="Times New Roman"/>
              </w:rPr>
            </w:pPr>
            <w:r w:rsidRPr="003439E8">
              <w:rPr>
                <w:rFonts w:eastAsia="Times New Roman"/>
              </w:rPr>
              <w:t xml:space="preserve">Justification: Provide examples from materials as evidence to support each response for this section. Provide </w:t>
            </w:r>
            <w:r w:rsidR="003439E8" w:rsidRPr="003439E8">
              <w:rPr>
                <w:rFonts w:eastAsia="Times New Roman"/>
              </w:rPr>
              <w:t>descriptions</w:t>
            </w:r>
            <w:r w:rsidRPr="003439E8">
              <w:rPr>
                <w:rFonts w:eastAsia="Times New Roman"/>
              </w:rPr>
              <w:t>, not just page numbers.</w:t>
            </w:r>
          </w:p>
        </w:tc>
      </w:tr>
      <w:tr w:rsidR="00754BFA" w:rsidRPr="00F2697E" w:rsidTr="003439E8">
        <w:trPr>
          <w:trHeight w:val="783"/>
        </w:trPr>
        <w:tc>
          <w:tcPr>
            <w:tcW w:w="1857" w:type="pct"/>
            <w:tcBorders>
              <w:top w:val="single" w:sz="4" w:space="0" w:color="auto"/>
            </w:tcBorders>
            <w:noWrap/>
          </w:tcPr>
          <w:p w:rsidR="00754BFA" w:rsidRPr="005463CD" w:rsidRDefault="00754BFA" w:rsidP="00754BFA">
            <w:r w:rsidRPr="005463CD">
              <w:t>CTE WELD.3.1.1 Identify the difference between ferrous and non-ferrous metals.</w:t>
            </w:r>
          </w:p>
        </w:tc>
        <w:tc>
          <w:tcPr>
            <w:tcW w:w="3143" w:type="pct"/>
            <w:tcBorders>
              <w:top w:val="single" w:sz="4" w:space="0" w:color="auto"/>
            </w:tcBorders>
          </w:tcPr>
          <w:p w:rsidR="00754BFA" w:rsidRPr="00B45EF1" w:rsidRDefault="00754BFA" w:rsidP="00754BFA"/>
        </w:tc>
      </w:tr>
      <w:tr w:rsidR="00754BFA" w:rsidRPr="00F2697E" w:rsidTr="003439E8">
        <w:trPr>
          <w:trHeight w:val="783"/>
        </w:trPr>
        <w:tc>
          <w:tcPr>
            <w:tcW w:w="1857" w:type="pct"/>
            <w:noWrap/>
          </w:tcPr>
          <w:p w:rsidR="00754BFA" w:rsidRDefault="00754BFA" w:rsidP="00754BFA">
            <w:r w:rsidRPr="005463CD">
              <w:t>CTE WELD.3.1.2 Identify and explain forms and shapes of structural metals.</w:t>
            </w:r>
          </w:p>
        </w:tc>
        <w:tc>
          <w:tcPr>
            <w:tcW w:w="3143" w:type="pct"/>
          </w:tcPr>
          <w:p w:rsidR="00754BFA" w:rsidRPr="00B45EF1" w:rsidRDefault="00754BFA" w:rsidP="00754BFA"/>
        </w:tc>
      </w:tr>
    </w:tbl>
    <w:p w:rsidR="00DD56D6" w:rsidRPr="00DD56D6" w:rsidRDefault="00754BFA" w:rsidP="00DD56D6">
      <w:pPr>
        <w:pStyle w:val="Heading3"/>
        <w:rPr>
          <w:rFonts w:eastAsia="Times New Roman"/>
          <w:color w:val="auto"/>
        </w:rPr>
      </w:pPr>
      <w:r w:rsidRPr="00754BFA">
        <w:rPr>
          <w:rFonts w:eastAsia="Times New Roman"/>
          <w:color w:val="auto"/>
        </w:rPr>
        <w:t>Performance Standard WELD.3.2 Demonstrate Measuring and Scaling Techniques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3.1 table"/>
      </w:tblPr>
      <w:tblGrid>
        <w:gridCol w:w="3456"/>
        <w:gridCol w:w="5849"/>
      </w:tblGrid>
      <w:tr w:rsidR="00A95A66" w:rsidRPr="00F2697E" w:rsidTr="003439E8">
        <w:trPr>
          <w:cnfStyle w:val="100000000000" w:firstRow="1" w:lastRow="0" w:firstColumn="0" w:lastColumn="0" w:oddVBand="0" w:evenVBand="0" w:oddHBand="0" w:evenHBand="0" w:firstRowFirstColumn="0" w:firstRowLastColumn="0" w:lastRowFirstColumn="0" w:lastRowLastColumn="0"/>
          <w:trHeight w:val="783"/>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A95A66" w:rsidRPr="003439E8" w:rsidRDefault="00A95A66" w:rsidP="00A95A66">
            <w:pPr>
              <w:rPr>
                <w:rFonts w:eastAsia="Times New Roman"/>
              </w:rPr>
            </w:pPr>
            <w:r w:rsidRPr="003439E8">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A95A66" w:rsidRPr="003439E8" w:rsidRDefault="00A95A66" w:rsidP="00A95A66">
            <w:pPr>
              <w:rPr>
                <w:rFonts w:eastAsia="Times New Roman"/>
              </w:rPr>
            </w:pPr>
            <w:r w:rsidRPr="003439E8">
              <w:rPr>
                <w:rFonts w:eastAsia="Times New Roman"/>
              </w:rPr>
              <w:t xml:space="preserve">Justification: Provide examples from materials as evidence to support each response for this section. Provide </w:t>
            </w:r>
            <w:r w:rsidR="003439E8" w:rsidRPr="003439E8">
              <w:rPr>
                <w:rFonts w:eastAsia="Times New Roman"/>
              </w:rPr>
              <w:t>descriptions</w:t>
            </w:r>
            <w:r w:rsidRPr="003439E8">
              <w:rPr>
                <w:rFonts w:eastAsia="Times New Roman"/>
              </w:rPr>
              <w:t>, not just page numbers.</w:t>
            </w:r>
          </w:p>
        </w:tc>
      </w:tr>
      <w:tr w:rsidR="00754BFA" w:rsidRPr="00F2697E" w:rsidTr="003439E8">
        <w:trPr>
          <w:trHeight w:val="783"/>
        </w:trPr>
        <w:tc>
          <w:tcPr>
            <w:tcW w:w="1857" w:type="pct"/>
            <w:tcBorders>
              <w:top w:val="single" w:sz="4" w:space="0" w:color="auto"/>
            </w:tcBorders>
            <w:noWrap/>
          </w:tcPr>
          <w:p w:rsidR="00754BFA" w:rsidRPr="00D51B63" w:rsidRDefault="00754BFA" w:rsidP="00754BFA">
            <w:r w:rsidRPr="00D51B63">
              <w:t>CTE WELD.3.2.1 Explain AWS filler metal classifications systems.</w:t>
            </w:r>
          </w:p>
        </w:tc>
        <w:tc>
          <w:tcPr>
            <w:tcW w:w="3143" w:type="pct"/>
            <w:tcBorders>
              <w:top w:val="single" w:sz="4" w:space="0" w:color="auto"/>
            </w:tcBorders>
          </w:tcPr>
          <w:p w:rsidR="00754BFA" w:rsidRPr="004F6D5A" w:rsidRDefault="00754BFA" w:rsidP="00754BFA"/>
        </w:tc>
      </w:tr>
      <w:tr w:rsidR="00754BFA" w:rsidRPr="00F2697E" w:rsidTr="003439E8">
        <w:trPr>
          <w:trHeight w:val="783"/>
        </w:trPr>
        <w:tc>
          <w:tcPr>
            <w:tcW w:w="1857" w:type="pct"/>
            <w:noWrap/>
          </w:tcPr>
          <w:p w:rsidR="00754BFA" w:rsidRPr="00D51B63" w:rsidRDefault="00754BFA" w:rsidP="00754BFA">
            <w:r w:rsidRPr="00D51B63">
              <w:t>CTE WELD.3.2.2 Identify different types of filler metals.</w:t>
            </w:r>
          </w:p>
        </w:tc>
        <w:tc>
          <w:tcPr>
            <w:tcW w:w="3143" w:type="pct"/>
          </w:tcPr>
          <w:p w:rsidR="00754BFA" w:rsidRPr="004F6D5A" w:rsidRDefault="00754BFA" w:rsidP="00754BFA"/>
        </w:tc>
      </w:tr>
      <w:tr w:rsidR="00754BFA" w:rsidRPr="00F2697E" w:rsidTr="003439E8">
        <w:trPr>
          <w:trHeight w:val="783"/>
        </w:trPr>
        <w:tc>
          <w:tcPr>
            <w:tcW w:w="1857" w:type="pct"/>
            <w:noWrap/>
          </w:tcPr>
          <w:p w:rsidR="00754BFA" w:rsidRDefault="00754BFA" w:rsidP="00754BFA">
            <w:r w:rsidRPr="00D51B63">
              <w:t>CTE WELD.3.2.3 Explain the storage and control of filler metals.</w:t>
            </w:r>
          </w:p>
        </w:tc>
        <w:tc>
          <w:tcPr>
            <w:tcW w:w="3143" w:type="pct"/>
          </w:tcPr>
          <w:p w:rsidR="00754BFA" w:rsidRPr="004F6D5A" w:rsidRDefault="00754BFA" w:rsidP="00754BFA"/>
        </w:tc>
      </w:tr>
    </w:tbl>
    <w:p w:rsidR="00FE7526" w:rsidRDefault="00FE7526" w:rsidP="00FE7526"/>
    <w:p w:rsidR="004F6D5A" w:rsidRDefault="00754BFA" w:rsidP="00895824">
      <w:pPr>
        <w:pStyle w:val="Heading3"/>
        <w:rPr>
          <w:rStyle w:val="IntenseEmphasis"/>
          <w:rFonts w:eastAsiaTheme="minorHAnsi" w:cstheme="minorBidi"/>
          <w:b/>
          <w:color w:val="417FD0" w:themeColor="text2" w:themeTint="99"/>
          <w:sz w:val="28"/>
          <w:szCs w:val="28"/>
        </w:rPr>
      </w:pPr>
      <w:r w:rsidRPr="00754BFA">
        <w:rPr>
          <w:rStyle w:val="IntenseEmphasis"/>
          <w:rFonts w:eastAsiaTheme="minorHAnsi" w:cstheme="minorBidi"/>
          <w:b/>
          <w:color w:val="417FD0" w:themeColor="text2" w:themeTint="99"/>
          <w:sz w:val="28"/>
          <w:szCs w:val="28"/>
        </w:rPr>
        <w:lastRenderedPageBreak/>
        <w:t>Standard WELD.4.0: Apply Shielded Metal Arc Welding (SMAW) Techniques</w:t>
      </w:r>
    </w:p>
    <w:p w:rsidR="00FE7526" w:rsidRPr="00895824" w:rsidRDefault="00754BFA" w:rsidP="00895824">
      <w:pPr>
        <w:pStyle w:val="Heading3"/>
        <w:rPr>
          <w:rStyle w:val="IntenseEmphasis"/>
          <w:b/>
          <w:color w:val="auto"/>
          <w:sz w:val="28"/>
          <w:szCs w:val="28"/>
        </w:rPr>
      </w:pPr>
      <w:r w:rsidRPr="00754BFA">
        <w:rPr>
          <w:rFonts w:eastAsia="Times New Roman"/>
          <w:color w:val="auto"/>
        </w:rPr>
        <w:t>Performance Standard WELD.4.1 Safety Procedures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FE7526"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7440ED" w:rsidRDefault="00FE7526" w:rsidP="003411D8">
            <w:pPr>
              <w:rPr>
                <w:rFonts w:eastAsia="Times New Roman"/>
              </w:rPr>
            </w:pPr>
            <w:r w:rsidRPr="007440ED">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7440ED" w:rsidRDefault="00FE7526" w:rsidP="003411D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754BFA" w:rsidRPr="00F2697E" w:rsidTr="007440ED">
        <w:trPr>
          <w:trHeight w:val="783"/>
        </w:trPr>
        <w:tc>
          <w:tcPr>
            <w:tcW w:w="1857" w:type="pct"/>
            <w:tcBorders>
              <w:top w:val="single" w:sz="4" w:space="0" w:color="auto"/>
            </w:tcBorders>
            <w:noWrap/>
          </w:tcPr>
          <w:p w:rsidR="00754BFA" w:rsidRPr="000D2914" w:rsidRDefault="00754BFA" w:rsidP="00754BFA">
            <w:r w:rsidRPr="000D2914">
              <w:t>CTE WELD.4.1.1 Identify and explain different types of welding current and polarity.</w:t>
            </w:r>
          </w:p>
        </w:tc>
        <w:tc>
          <w:tcPr>
            <w:tcW w:w="3143" w:type="pct"/>
            <w:tcBorders>
              <w:top w:val="single" w:sz="4" w:space="0" w:color="auto"/>
            </w:tcBorders>
          </w:tcPr>
          <w:p w:rsidR="00754BFA" w:rsidRPr="0068662F" w:rsidRDefault="00754BFA" w:rsidP="00754BFA"/>
        </w:tc>
      </w:tr>
      <w:tr w:rsidR="00754BFA" w:rsidRPr="00F2697E" w:rsidTr="007440ED">
        <w:trPr>
          <w:trHeight w:val="1070"/>
        </w:trPr>
        <w:tc>
          <w:tcPr>
            <w:tcW w:w="1857" w:type="pct"/>
            <w:noWrap/>
          </w:tcPr>
          <w:p w:rsidR="00754BFA" w:rsidRPr="000D2914" w:rsidRDefault="00754BFA" w:rsidP="00754BFA">
            <w:r w:rsidRPr="000D2914">
              <w:t>CTE WELD.4.1.2 Perform safety inspections of SMAW equipment and accessories.</w:t>
            </w:r>
          </w:p>
        </w:tc>
        <w:tc>
          <w:tcPr>
            <w:tcW w:w="3143" w:type="pct"/>
          </w:tcPr>
          <w:p w:rsidR="00754BFA" w:rsidRPr="0068662F" w:rsidRDefault="00754BFA" w:rsidP="00754BFA"/>
        </w:tc>
      </w:tr>
      <w:tr w:rsidR="00754BFA" w:rsidRPr="00F2697E" w:rsidTr="007440ED">
        <w:trPr>
          <w:trHeight w:val="1070"/>
        </w:trPr>
        <w:tc>
          <w:tcPr>
            <w:tcW w:w="1857" w:type="pct"/>
            <w:noWrap/>
          </w:tcPr>
          <w:p w:rsidR="00754BFA" w:rsidRDefault="00754BFA" w:rsidP="00754BFA">
            <w:r w:rsidRPr="000D2914">
              <w:t>CTE WELD.4.1.3 Maintain SMAW equipment and accessories.</w:t>
            </w:r>
          </w:p>
        </w:tc>
        <w:tc>
          <w:tcPr>
            <w:tcW w:w="3143" w:type="pct"/>
          </w:tcPr>
          <w:p w:rsidR="00754BFA" w:rsidRPr="0068662F" w:rsidRDefault="00754BFA" w:rsidP="00754BFA"/>
        </w:tc>
      </w:tr>
    </w:tbl>
    <w:p w:rsidR="000162C8" w:rsidRPr="000162C8" w:rsidRDefault="0078105F" w:rsidP="000162C8">
      <w:pPr>
        <w:pStyle w:val="Heading3"/>
        <w:rPr>
          <w:color w:val="auto"/>
        </w:rPr>
      </w:pPr>
      <w:r w:rsidRPr="0078105F">
        <w:rPr>
          <w:rFonts w:eastAsia="Times New Roman"/>
          <w:color w:val="auto"/>
        </w:rPr>
        <w:t>Performance Standard WELD.4.2 Produce Welds Using SMAW on Carbon Steel</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4.1 table"/>
      </w:tblPr>
      <w:tblGrid>
        <w:gridCol w:w="3456"/>
        <w:gridCol w:w="5849"/>
      </w:tblGrid>
      <w:tr w:rsidR="00DD56D6" w:rsidRPr="007440ED" w:rsidTr="007440ED">
        <w:trPr>
          <w:cnfStyle w:val="100000000000" w:firstRow="1" w:lastRow="0" w:firstColumn="0" w:lastColumn="0" w:oddVBand="0" w:evenVBand="0" w:oddHBand="0" w:evenHBand="0" w:firstRowFirstColumn="0" w:firstRowLastColumn="0" w:lastRowFirstColumn="0" w:lastRowLastColumn="0"/>
          <w:trHeight w:val="1070"/>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7440ED" w:rsidRDefault="00DD56D6" w:rsidP="00DD56D6">
            <w:pPr>
              <w:rPr>
                <w:rFonts w:eastAsia="Times New Roman"/>
              </w:rPr>
            </w:pPr>
            <w:r w:rsidRPr="007440ED">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7440ED" w:rsidRDefault="00DD56D6" w:rsidP="00DD56D6">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78105F" w:rsidRPr="00F2697E" w:rsidTr="007440ED">
        <w:trPr>
          <w:trHeight w:val="1070"/>
        </w:trPr>
        <w:tc>
          <w:tcPr>
            <w:tcW w:w="1857" w:type="pct"/>
            <w:tcBorders>
              <w:top w:val="single" w:sz="4" w:space="0" w:color="auto"/>
            </w:tcBorders>
            <w:noWrap/>
          </w:tcPr>
          <w:p w:rsidR="0078105F" w:rsidRPr="00363C35" w:rsidRDefault="0078105F" w:rsidP="0078105F">
            <w:r w:rsidRPr="00363C35">
              <w:t>CTE WELD.4.2.1 Set up for SMAW operations.</w:t>
            </w:r>
          </w:p>
        </w:tc>
        <w:tc>
          <w:tcPr>
            <w:tcW w:w="3143" w:type="pct"/>
            <w:tcBorders>
              <w:top w:val="single" w:sz="4" w:space="0" w:color="auto"/>
            </w:tcBorders>
          </w:tcPr>
          <w:p w:rsidR="0078105F" w:rsidRPr="0068662F" w:rsidRDefault="0078105F" w:rsidP="0078105F"/>
        </w:tc>
      </w:tr>
      <w:tr w:rsidR="0078105F" w:rsidRPr="00F2697E" w:rsidTr="007440ED">
        <w:trPr>
          <w:trHeight w:val="1070"/>
        </w:trPr>
        <w:tc>
          <w:tcPr>
            <w:tcW w:w="1857" w:type="pct"/>
            <w:noWrap/>
          </w:tcPr>
          <w:p w:rsidR="0078105F" w:rsidRPr="00363C35" w:rsidRDefault="0078105F" w:rsidP="0078105F">
            <w:r w:rsidRPr="00363C35">
              <w:t>CTE WELD.4.2.2 Operate SMAW equipment.</w:t>
            </w:r>
          </w:p>
        </w:tc>
        <w:tc>
          <w:tcPr>
            <w:tcW w:w="3143" w:type="pct"/>
          </w:tcPr>
          <w:p w:rsidR="0078105F" w:rsidRPr="0068662F" w:rsidRDefault="0078105F" w:rsidP="0078105F"/>
        </w:tc>
      </w:tr>
      <w:tr w:rsidR="0078105F" w:rsidRPr="00F2697E" w:rsidTr="007440ED">
        <w:trPr>
          <w:trHeight w:val="1070"/>
        </w:trPr>
        <w:tc>
          <w:tcPr>
            <w:tcW w:w="1857" w:type="pct"/>
            <w:noWrap/>
          </w:tcPr>
          <w:p w:rsidR="0078105F" w:rsidRPr="00363C35" w:rsidRDefault="0078105F" w:rsidP="0078105F">
            <w:r w:rsidRPr="00363C35">
              <w:t>CTE WELD.4.2.3 Perform welds in the 1F position.</w:t>
            </w:r>
          </w:p>
        </w:tc>
        <w:tc>
          <w:tcPr>
            <w:tcW w:w="3143" w:type="pct"/>
          </w:tcPr>
          <w:p w:rsidR="0078105F" w:rsidRPr="0068662F" w:rsidRDefault="0078105F" w:rsidP="0078105F"/>
        </w:tc>
      </w:tr>
      <w:tr w:rsidR="0078105F" w:rsidRPr="00F2697E" w:rsidTr="007440ED">
        <w:trPr>
          <w:trHeight w:val="1070"/>
        </w:trPr>
        <w:tc>
          <w:tcPr>
            <w:tcW w:w="1857" w:type="pct"/>
            <w:noWrap/>
          </w:tcPr>
          <w:p w:rsidR="0078105F" w:rsidRPr="00363C35" w:rsidRDefault="0078105F" w:rsidP="0078105F">
            <w:r w:rsidRPr="00363C35">
              <w:t>CTE WELD.4.2.4 Perform welds in the 2F position.</w:t>
            </w:r>
          </w:p>
        </w:tc>
        <w:tc>
          <w:tcPr>
            <w:tcW w:w="3143" w:type="pct"/>
          </w:tcPr>
          <w:p w:rsidR="0078105F" w:rsidRPr="0068662F" w:rsidRDefault="0078105F" w:rsidP="0078105F"/>
        </w:tc>
      </w:tr>
      <w:tr w:rsidR="0078105F" w:rsidRPr="00F2697E" w:rsidTr="007440ED">
        <w:trPr>
          <w:trHeight w:val="1070"/>
        </w:trPr>
        <w:tc>
          <w:tcPr>
            <w:tcW w:w="1857" w:type="pct"/>
            <w:noWrap/>
          </w:tcPr>
          <w:p w:rsidR="0078105F" w:rsidRPr="00363C35" w:rsidRDefault="0078105F" w:rsidP="0078105F">
            <w:r w:rsidRPr="00363C35">
              <w:t>CTE WELD.4.2.5 Perform welds in the 3F position.</w:t>
            </w:r>
          </w:p>
        </w:tc>
        <w:tc>
          <w:tcPr>
            <w:tcW w:w="3143" w:type="pct"/>
          </w:tcPr>
          <w:p w:rsidR="0078105F" w:rsidRPr="0068662F" w:rsidRDefault="0078105F" w:rsidP="0078105F"/>
        </w:tc>
      </w:tr>
      <w:tr w:rsidR="0078105F" w:rsidRPr="00F2697E" w:rsidTr="007440ED">
        <w:trPr>
          <w:trHeight w:val="1070"/>
        </w:trPr>
        <w:tc>
          <w:tcPr>
            <w:tcW w:w="1857" w:type="pct"/>
            <w:noWrap/>
          </w:tcPr>
          <w:p w:rsidR="0078105F" w:rsidRPr="00363C35" w:rsidRDefault="0078105F" w:rsidP="0078105F">
            <w:r w:rsidRPr="00363C35">
              <w:lastRenderedPageBreak/>
              <w:t>CTE WELD.4.2.6 Perform welds in the 4F position.</w:t>
            </w:r>
          </w:p>
        </w:tc>
        <w:tc>
          <w:tcPr>
            <w:tcW w:w="3143" w:type="pct"/>
          </w:tcPr>
          <w:p w:rsidR="0078105F" w:rsidRPr="0068662F" w:rsidRDefault="0078105F" w:rsidP="0078105F"/>
        </w:tc>
      </w:tr>
      <w:tr w:rsidR="0078105F" w:rsidRPr="00F2697E" w:rsidTr="007440ED">
        <w:trPr>
          <w:trHeight w:val="1070"/>
        </w:trPr>
        <w:tc>
          <w:tcPr>
            <w:tcW w:w="1857" w:type="pct"/>
            <w:noWrap/>
          </w:tcPr>
          <w:p w:rsidR="0078105F" w:rsidRPr="00363C35" w:rsidRDefault="0078105F" w:rsidP="0078105F">
            <w:r w:rsidRPr="00363C35">
              <w:t>CTE WELD.4.2.7 Perform welds in the 1G position.</w:t>
            </w:r>
          </w:p>
        </w:tc>
        <w:tc>
          <w:tcPr>
            <w:tcW w:w="3143" w:type="pct"/>
          </w:tcPr>
          <w:p w:rsidR="0078105F" w:rsidRPr="0068662F" w:rsidRDefault="0078105F" w:rsidP="0078105F"/>
        </w:tc>
      </w:tr>
      <w:tr w:rsidR="0078105F" w:rsidRPr="00F2697E" w:rsidTr="007440ED">
        <w:trPr>
          <w:trHeight w:val="1070"/>
        </w:trPr>
        <w:tc>
          <w:tcPr>
            <w:tcW w:w="1857" w:type="pct"/>
            <w:noWrap/>
          </w:tcPr>
          <w:p w:rsidR="0078105F" w:rsidRPr="00363C35" w:rsidRDefault="0078105F" w:rsidP="0078105F">
            <w:r w:rsidRPr="00363C35">
              <w:t>CTE WELD.4.2.8 Perform welds in the 2G position.</w:t>
            </w:r>
          </w:p>
        </w:tc>
        <w:tc>
          <w:tcPr>
            <w:tcW w:w="3143" w:type="pct"/>
          </w:tcPr>
          <w:p w:rsidR="0078105F" w:rsidRPr="0068662F" w:rsidRDefault="0078105F" w:rsidP="0078105F"/>
        </w:tc>
      </w:tr>
      <w:tr w:rsidR="0078105F" w:rsidRPr="00F2697E" w:rsidTr="007440ED">
        <w:trPr>
          <w:trHeight w:val="1070"/>
        </w:trPr>
        <w:tc>
          <w:tcPr>
            <w:tcW w:w="1857" w:type="pct"/>
            <w:noWrap/>
          </w:tcPr>
          <w:p w:rsidR="0078105F" w:rsidRPr="00363C35" w:rsidRDefault="0078105F" w:rsidP="0078105F">
            <w:r w:rsidRPr="00363C35">
              <w:t>CTE WELD.4.2.9 Perform welds in the 3G position.</w:t>
            </w:r>
          </w:p>
        </w:tc>
        <w:tc>
          <w:tcPr>
            <w:tcW w:w="3143" w:type="pct"/>
          </w:tcPr>
          <w:p w:rsidR="0078105F" w:rsidRPr="0068662F" w:rsidRDefault="0078105F" w:rsidP="0078105F"/>
        </w:tc>
      </w:tr>
      <w:tr w:rsidR="0078105F" w:rsidRPr="00F2697E" w:rsidTr="007440ED">
        <w:trPr>
          <w:trHeight w:val="1070"/>
        </w:trPr>
        <w:tc>
          <w:tcPr>
            <w:tcW w:w="1857" w:type="pct"/>
            <w:noWrap/>
          </w:tcPr>
          <w:p w:rsidR="0078105F" w:rsidRPr="00363C35" w:rsidRDefault="0078105F" w:rsidP="0078105F">
            <w:r w:rsidRPr="00363C35">
              <w:t>CTE WELD.4.2.10 Perform welds in the 4G position.</w:t>
            </w:r>
          </w:p>
        </w:tc>
        <w:tc>
          <w:tcPr>
            <w:tcW w:w="3143" w:type="pct"/>
          </w:tcPr>
          <w:p w:rsidR="0078105F" w:rsidRPr="0068662F" w:rsidRDefault="0078105F" w:rsidP="0078105F"/>
        </w:tc>
      </w:tr>
      <w:tr w:rsidR="0078105F" w:rsidRPr="00F2697E" w:rsidTr="007440ED">
        <w:trPr>
          <w:trHeight w:val="1070"/>
        </w:trPr>
        <w:tc>
          <w:tcPr>
            <w:tcW w:w="1857" w:type="pct"/>
            <w:noWrap/>
          </w:tcPr>
          <w:p w:rsidR="0078105F" w:rsidRDefault="0078105F" w:rsidP="0078105F">
            <w:r w:rsidRPr="00363C35">
              <w:t>CTE WELD.4.2.11 Describe 2G, 5G and 6G welding positions.</w:t>
            </w:r>
          </w:p>
        </w:tc>
        <w:tc>
          <w:tcPr>
            <w:tcW w:w="3143" w:type="pct"/>
          </w:tcPr>
          <w:p w:rsidR="0078105F" w:rsidRPr="0068662F" w:rsidRDefault="0078105F" w:rsidP="0078105F"/>
        </w:tc>
      </w:tr>
    </w:tbl>
    <w:p w:rsidR="00FE7526" w:rsidRDefault="00FE7526" w:rsidP="00FE7526"/>
    <w:p w:rsidR="00B45EF1" w:rsidRDefault="0078105F" w:rsidP="00895824">
      <w:pPr>
        <w:pStyle w:val="Heading3"/>
        <w:rPr>
          <w:rStyle w:val="IntenseEmphasis"/>
          <w:rFonts w:eastAsiaTheme="minorHAnsi" w:cstheme="minorBidi"/>
          <w:b/>
          <w:color w:val="417FD0" w:themeColor="text2" w:themeTint="99"/>
          <w:sz w:val="28"/>
          <w:szCs w:val="28"/>
        </w:rPr>
      </w:pPr>
      <w:r w:rsidRPr="0078105F">
        <w:rPr>
          <w:rStyle w:val="IntenseEmphasis"/>
          <w:rFonts w:eastAsiaTheme="minorHAnsi" w:cstheme="minorBidi"/>
          <w:b/>
          <w:color w:val="417FD0" w:themeColor="text2" w:themeTint="99"/>
          <w:sz w:val="28"/>
          <w:szCs w:val="28"/>
        </w:rPr>
        <w:t>Standard WELD.5.0: Apply Gas Metal Arc Welding (GMAW-S, GMAW) Techniques</w:t>
      </w:r>
    </w:p>
    <w:p w:rsidR="00FE7526" w:rsidRPr="00895824" w:rsidRDefault="0078105F" w:rsidP="00895824">
      <w:pPr>
        <w:pStyle w:val="Heading3"/>
        <w:rPr>
          <w:rStyle w:val="IntenseEmphasis"/>
          <w:b/>
          <w:color w:val="auto"/>
          <w:sz w:val="28"/>
          <w:szCs w:val="28"/>
        </w:rPr>
      </w:pPr>
      <w:r w:rsidRPr="0078105F">
        <w:rPr>
          <w:rFonts w:eastAsia="Times New Roman"/>
          <w:color w:val="auto"/>
        </w:rPr>
        <w:t>Performance Standard WELD.5.1 Utilize Safety Procedures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FE7526"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7440ED" w:rsidRDefault="00FE7526" w:rsidP="003411D8">
            <w:pPr>
              <w:rPr>
                <w:rFonts w:eastAsia="Times New Roman"/>
              </w:rPr>
            </w:pPr>
            <w:r w:rsidRPr="007440ED">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7440ED" w:rsidRDefault="00FE7526" w:rsidP="003411D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78105F" w:rsidRPr="00F2697E" w:rsidTr="007440ED">
        <w:trPr>
          <w:trHeight w:val="783"/>
        </w:trPr>
        <w:tc>
          <w:tcPr>
            <w:tcW w:w="1857" w:type="pct"/>
            <w:tcBorders>
              <w:top w:val="single" w:sz="4" w:space="0" w:color="auto"/>
            </w:tcBorders>
            <w:noWrap/>
          </w:tcPr>
          <w:p w:rsidR="0078105F" w:rsidRPr="00835BE7" w:rsidRDefault="0078105F" w:rsidP="0078105F">
            <w:r w:rsidRPr="00835BE7">
              <w:t>CTE WELD.5.1.1 Identify and explain the use of GMAW equipment (i.e., spray transfer, globular, short circuit, pulse).</w:t>
            </w:r>
          </w:p>
        </w:tc>
        <w:tc>
          <w:tcPr>
            <w:tcW w:w="3143" w:type="pct"/>
            <w:tcBorders>
              <w:top w:val="single" w:sz="4" w:space="0" w:color="auto"/>
            </w:tcBorders>
          </w:tcPr>
          <w:p w:rsidR="0078105F" w:rsidRPr="00B45EF1" w:rsidRDefault="0078105F" w:rsidP="0078105F"/>
        </w:tc>
      </w:tr>
      <w:tr w:rsidR="0078105F" w:rsidRPr="00F2697E" w:rsidTr="007440ED">
        <w:trPr>
          <w:trHeight w:val="783"/>
        </w:trPr>
        <w:tc>
          <w:tcPr>
            <w:tcW w:w="1857" w:type="pct"/>
            <w:noWrap/>
          </w:tcPr>
          <w:p w:rsidR="0078105F" w:rsidRPr="00835BE7" w:rsidRDefault="0078105F" w:rsidP="0078105F">
            <w:r w:rsidRPr="00835BE7">
              <w:t>CTE WELD.5.1.2 Perform safety inspections of GMAW equipment and accessories.</w:t>
            </w:r>
          </w:p>
        </w:tc>
        <w:tc>
          <w:tcPr>
            <w:tcW w:w="3143" w:type="pct"/>
          </w:tcPr>
          <w:p w:rsidR="0078105F" w:rsidRPr="00B45EF1" w:rsidRDefault="0078105F" w:rsidP="0078105F"/>
        </w:tc>
      </w:tr>
      <w:tr w:rsidR="0078105F" w:rsidRPr="00F2697E" w:rsidTr="007440ED">
        <w:trPr>
          <w:trHeight w:val="783"/>
        </w:trPr>
        <w:tc>
          <w:tcPr>
            <w:tcW w:w="1857" w:type="pct"/>
            <w:noWrap/>
          </w:tcPr>
          <w:p w:rsidR="0078105F" w:rsidRPr="00835BE7" w:rsidRDefault="0078105F" w:rsidP="0078105F">
            <w:r w:rsidRPr="00835BE7">
              <w:lastRenderedPageBreak/>
              <w:t>CTE WELD.5.1.3 Maintain GMAW equipment and accessories.</w:t>
            </w:r>
          </w:p>
        </w:tc>
        <w:tc>
          <w:tcPr>
            <w:tcW w:w="3143" w:type="pct"/>
          </w:tcPr>
          <w:p w:rsidR="0078105F" w:rsidRPr="00B45EF1" w:rsidRDefault="0078105F" w:rsidP="0078105F"/>
        </w:tc>
      </w:tr>
      <w:tr w:rsidR="0078105F" w:rsidRPr="00F2697E" w:rsidTr="007440ED">
        <w:trPr>
          <w:trHeight w:val="783"/>
        </w:trPr>
        <w:tc>
          <w:tcPr>
            <w:tcW w:w="1857" w:type="pct"/>
            <w:noWrap/>
          </w:tcPr>
          <w:p w:rsidR="0078105F" w:rsidRDefault="0078105F" w:rsidP="0078105F">
            <w:r w:rsidRPr="00835BE7">
              <w:t>CTE WELD.5.1.4 Demonstrate safe startup, shutdown, disassembly, and cylinder exchange procedures of GMAW equipment.</w:t>
            </w:r>
          </w:p>
        </w:tc>
        <w:tc>
          <w:tcPr>
            <w:tcW w:w="3143" w:type="pct"/>
          </w:tcPr>
          <w:p w:rsidR="0078105F" w:rsidRPr="00B45EF1" w:rsidRDefault="0078105F" w:rsidP="0078105F"/>
        </w:tc>
      </w:tr>
    </w:tbl>
    <w:p w:rsidR="00B75DC8" w:rsidRPr="00895824" w:rsidRDefault="00B75DC8" w:rsidP="00B75DC8">
      <w:pPr>
        <w:pStyle w:val="Heading3"/>
        <w:rPr>
          <w:rStyle w:val="IntenseEmphasis"/>
          <w:b/>
          <w:color w:val="auto"/>
          <w:sz w:val="28"/>
          <w:szCs w:val="28"/>
        </w:rPr>
      </w:pPr>
      <w:r w:rsidRPr="00B75DC8">
        <w:rPr>
          <w:rFonts w:eastAsia="Times New Roman"/>
          <w:color w:val="auto"/>
        </w:rPr>
        <w:t>Performance Standard WELD.5.2 Produce Welds Using GMAW-S on Carbon Steel</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456"/>
        <w:gridCol w:w="5849"/>
      </w:tblGrid>
      <w:tr w:rsidR="00B75DC8"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57"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75DC8" w:rsidRPr="007440ED" w:rsidRDefault="00B75DC8" w:rsidP="003439E8">
            <w:pPr>
              <w:rPr>
                <w:rFonts w:eastAsia="Times New Roman"/>
              </w:rPr>
            </w:pPr>
            <w:r w:rsidRPr="007440ED">
              <w:rPr>
                <w:rFonts w:eastAsia="Times New Roman"/>
              </w:rPr>
              <w:t>Student Competencies by Performance Standard</w:t>
            </w:r>
          </w:p>
        </w:tc>
        <w:tc>
          <w:tcPr>
            <w:tcW w:w="3143"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75DC8" w:rsidRPr="007440ED" w:rsidRDefault="00B75DC8" w:rsidP="003439E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B75DC8" w:rsidRPr="00F2697E" w:rsidTr="007440ED">
        <w:trPr>
          <w:trHeight w:val="783"/>
        </w:trPr>
        <w:tc>
          <w:tcPr>
            <w:tcW w:w="1857" w:type="pct"/>
            <w:tcBorders>
              <w:top w:val="single" w:sz="4" w:space="0" w:color="auto"/>
            </w:tcBorders>
            <w:noWrap/>
          </w:tcPr>
          <w:p w:rsidR="00B75DC8" w:rsidRPr="00654278" w:rsidRDefault="00B75DC8" w:rsidP="00B75DC8">
            <w:r w:rsidRPr="00654278">
              <w:t>CTE WELD.5.2.1 Set up for GMAW-S operations.</w:t>
            </w:r>
          </w:p>
        </w:tc>
        <w:tc>
          <w:tcPr>
            <w:tcW w:w="3143" w:type="pct"/>
            <w:tcBorders>
              <w:top w:val="single" w:sz="4" w:space="0" w:color="auto"/>
            </w:tcBorders>
          </w:tcPr>
          <w:p w:rsidR="00B75DC8" w:rsidRPr="00B45EF1" w:rsidRDefault="00B75DC8" w:rsidP="00B75DC8"/>
        </w:tc>
      </w:tr>
      <w:tr w:rsidR="00B75DC8" w:rsidRPr="00F2697E" w:rsidTr="007440ED">
        <w:trPr>
          <w:trHeight w:val="783"/>
        </w:trPr>
        <w:tc>
          <w:tcPr>
            <w:tcW w:w="1857" w:type="pct"/>
            <w:noWrap/>
          </w:tcPr>
          <w:p w:rsidR="00B75DC8" w:rsidRPr="00654278" w:rsidRDefault="00B75DC8" w:rsidP="00B75DC8">
            <w:r w:rsidRPr="00654278">
              <w:t>CTE WELD.5.2.2 Operate GMAW-S equipment.</w:t>
            </w:r>
          </w:p>
        </w:tc>
        <w:tc>
          <w:tcPr>
            <w:tcW w:w="3143" w:type="pct"/>
          </w:tcPr>
          <w:p w:rsidR="00B75DC8" w:rsidRPr="00B45EF1" w:rsidRDefault="00B75DC8" w:rsidP="00B75DC8"/>
        </w:tc>
      </w:tr>
      <w:tr w:rsidR="00B75DC8" w:rsidRPr="00F2697E" w:rsidTr="007440ED">
        <w:trPr>
          <w:trHeight w:val="783"/>
        </w:trPr>
        <w:tc>
          <w:tcPr>
            <w:tcW w:w="1857" w:type="pct"/>
            <w:noWrap/>
          </w:tcPr>
          <w:p w:rsidR="00B75DC8" w:rsidRPr="00654278" w:rsidRDefault="00B75DC8" w:rsidP="00B75DC8">
            <w:r w:rsidRPr="00654278">
              <w:t>CTE WELD.5.2.3 Perform welds in the 1F position.</w:t>
            </w:r>
          </w:p>
        </w:tc>
        <w:tc>
          <w:tcPr>
            <w:tcW w:w="3143" w:type="pct"/>
          </w:tcPr>
          <w:p w:rsidR="00B75DC8" w:rsidRPr="00B45EF1" w:rsidRDefault="00B75DC8" w:rsidP="00B75DC8"/>
        </w:tc>
      </w:tr>
      <w:tr w:rsidR="00B75DC8" w:rsidRPr="00F2697E" w:rsidTr="007440ED">
        <w:trPr>
          <w:trHeight w:val="783"/>
        </w:trPr>
        <w:tc>
          <w:tcPr>
            <w:tcW w:w="1857" w:type="pct"/>
            <w:noWrap/>
          </w:tcPr>
          <w:p w:rsidR="00B75DC8" w:rsidRPr="00654278" w:rsidRDefault="00B75DC8" w:rsidP="00B75DC8">
            <w:r w:rsidRPr="00654278">
              <w:t>CTE WELD.5.2.4 Perform welds in the 2F position.</w:t>
            </w:r>
          </w:p>
        </w:tc>
        <w:tc>
          <w:tcPr>
            <w:tcW w:w="3143" w:type="pct"/>
          </w:tcPr>
          <w:p w:rsidR="00B75DC8" w:rsidRPr="00B45EF1" w:rsidRDefault="00B75DC8" w:rsidP="00B75DC8"/>
        </w:tc>
      </w:tr>
      <w:tr w:rsidR="00B75DC8" w:rsidRPr="00F2697E" w:rsidTr="007440ED">
        <w:trPr>
          <w:trHeight w:val="783"/>
        </w:trPr>
        <w:tc>
          <w:tcPr>
            <w:tcW w:w="1857" w:type="pct"/>
            <w:noWrap/>
          </w:tcPr>
          <w:p w:rsidR="00B75DC8" w:rsidRPr="00654278" w:rsidRDefault="00B75DC8" w:rsidP="00B75DC8">
            <w:r w:rsidRPr="00654278">
              <w:t>CTE WELD.5.2.5 Perform welds in the 3F position.</w:t>
            </w:r>
          </w:p>
        </w:tc>
        <w:tc>
          <w:tcPr>
            <w:tcW w:w="3143" w:type="pct"/>
          </w:tcPr>
          <w:p w:rsidR="00B75DC8" w:rsidRPr="00B45EF1" w:rsidRDefault="00B75DC8" w:rsidP="00B75DC8"/>
        </w:tc>
      </w:tr>
      <w:tr w:rsidR="00B75DC8" w:rsidRPr="00F2697E" w:rsidTr="007440ED">
        <w:trPr>
          <w:trHeight w:val="783"/>
        </w:trPr>
        <w:tc>
          <w:tcPr>
            <w:tcW w:w="1857" w:type="pct"/>
            <w:noWrap/>
          </w:tcPr>
          <w:p w:rsidR="00B75DC8" w:rsidRPr="00654278" w:rsidRDefault="00B75DC8" w:rsidP="00B75DC8">
            <w:r w:rsidRPr="00654278">
              <w:t>CTE WELD.5.2.6 Perform welds in the 4F position.</w:t>
            </w:r>
          </w:p>
        </w:tc>
        <w:tc>
          <w:tcPr>
            <w:tcW w:w="3143" w:type="pct"/>
          </w:tcPr>
          <w:p w:rsidR="00B75DC8" w:rsidRPr="00B45EF1" w:rsidRDefault="00B75DC8" w:rsidP="00B75DC8"/>
        </w:tc>
      </w:tr>
      <w:tr w:rsidR="00B75DC8" w:rsidRPr="00F2697E" w:rsidTr="007440ED">
        <w:trPr>
          <w:trHeight w:val="783"/>
        </w:trPr>
        <w:tc>
          <w:tcPr>
            <w:tcW w:w="1857" w:type="pct"/>
            <w:noWrap/>
          </w:tcPr>
          <w:p w:rsidR="00B75DC8" w:rsidRPr="00654278" w:rsidRDefault="00B75DC8" w:rsidP="00B75DC8">
            <w:r w:rsidRPr="00654278">
              <w:t>CTE WELD.5.2.7 Perform welds in the 1G position.</w:t>
            </w:r>
          </w:p>
        </w:tc>
        <w:tc>
          <w:tcPr>
            <w:tcW w:w="3143" w:type="pct"/>
          </w:tcPr>
          <w:p w:rsidR="00B75DC8" w:rsidRPr="00B45EF1" w:rsidRDefault="00B75DC8" w:rsidP="00B75DC8"/>
        </w:tc>
      </w:tr>
      <w:tr w:rsidR="00B75DC8" w:rsidRPr="00F2697E" w:rsidTr="007440ED">
        <w:trPr>
          <w:trHeight w:val="783"/>
        </w:trPr>
        <w:tc>
          <w:tcPr>
            <w:tcW w:w="1857" w:type="pct"/>
            <w:noWrap/>
          </w:tcPr>
          <w:p w:rsidR="00B75DC8" w:rsidRPr="00654278" w:rsidRDefault="00B75DC8" w:rsidP="00B75DC8">
            <w:r w:rsidRPr="00654278">
              <w:t>CTE WELD.5.2.8 Perform welds in the 2G position.</w:t>
            </w:r>
          </w:p>
        </w:tc>
        <w:tc>
          <w:tcPr>
            <w:tcW w:w="3143" w:type="pct"/>
          </w:tcPr>
          <w:p w:rsidR="00B75DC8" w:rsidRPr="00B45EF1" w:rsidRDefault="00B75DC8" w:rsidP="00B75DC8"/>
        </w:tc>
      </w:tr>
      <w:tr w:rsidR="00B75DC8" w:rsidRPr="00F2697E" w:rsidTr="007440ED">
        <w:trPr>
          <w:trHeight w:val="783"/>
        </w:trPr>
        <w:tc>
          <w:tcPr>
            <w:tcW w:w="1857" w:type="pct"/>
            <w:noWrap/>
          </w:tcPr>
          <w:p w:rsidR="00B75DC8" w:rsidRDefault="00B75DC8" w:rsidP="00B75DC8">
            <w:r w:rsidRPr="00654278">
              <w:t>CTE WELD.5.2.9 Perform welds in the 3G position.</w:t>
            </w:r>
          </w:p>
        </w:tc>
        <w:tc>
          <w:tcPr>
            <w:tcW w:w="3143" w:type="pct"/>
          </w:tcPr>
          <w:p w:rsidR="00B75DC8" w:rsidRPr="00B45EF1" w:rsidRDefault="00B75DC8" w:rsidP="00B75DC8"/>
        </w:tc>
      </w:tr>
    </w:tbl>
    <w:p w:rsidR="00B45EF1" w:rsidRDefault="00B45EF1" w:rsidP="00FE7526">
      <w:pPr>
        <w:rPr>
          <w:rStyle w:val="IntenseEmphasis"/>
          <w:color w:val="417FD0" w:themeColor="text2" w:themeTint="99"/>
          <w:sz w:val="28"/>
          <w:szCs w:val="28"/>
        </w:rPr>
      </w:pPr>
    </w:p>
    <w:p w:rsidR="00B45EF1" w:rsidRDefault="00B75DC8" w:rsidP="00895824">
      <w:pPr>
        <w:pStyle w:val="Heading3"/>
        <w:rPr>
          <w:rStyle w:val="IntenseEmphasis"/>
          <w:rFonts w:eastAsiaTheme="minorHAnsi" w:cstheme="minorBidi"/>
          <w:b/>
          <w:color w:val="417FD0" w:themeColor="text2" w:themeTint="99"/>
          <w:sz w:val="28"/>
          <w:szCs w:val="28"/>
        </w:rPr>
      </w:pPr>
      <w:r w:rsidRPr="00B75DC8">
        <w:rPr>
          <w:rStyle w:val="IntenseEmphasis"/>
          <w:rFonts w:eastAsiaTheme="minorHAnsi" w:cstheme="minorBidi"/>
          <w:b/>
          <w:color w:val="417FD0" w:themeColor="text2" w:themeTint="99"/>
          <w:sz w:val="28"/>
          <w:szCs w:val="28"/>
        </w:rPr>
        <w:lastRenderedPageBreak/>
        <w:t>Standard WELD.6.0: Apply Flux Corded Arc Welding (FCAW-G) Technique</w:t>
      </w:r>
    </w:p>
    <w:p w:rsidR="00FE7526" w:rsidRPr="00895824" w:rsidRDefault="00B75DC8" w:rsidP="00895824">
      <w:pPr>
        <w:pStyle w:val="Heading3"/>
        <w:rPr>
          <w:rStyle w:val="IntenseEmphasis"/>
          <w:b/>
          <w:color w:val="auto"/>
          <w:sz w:val="28"/>
          <w:szCs w:val="28"/>
        </w:rPr>
      </w:pPr>
      <w:r w:rsidRPr="00B75DC8">
        <w:rPr>
          <w:color w:val="auto"/>
        </w:rPr>
        <w:t>Performance Standard WELD.6.1 Utilize Safety Procedures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5.1"/>
      </w:tblPr>
      <w:tblGrid>
        <w:gridCol w:w="3374"/>
        <w:gridCol w:w="5931"/>
      </w:tblGrid>
      <w:tr w:rsidR="00FE7526"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noWrap/>
          </w:tcPr>
          <w:p w:rsidR="00FE7526" w:rsidRPr="007440ED" w:rsidRDefault="00FE7526" w:rsidP="00014FA1">
            <w:r w:rsidRPr="007440ED">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tcPr>
          <w:p w:rsidR="00FE7526" w:rsidRPr="007440ED" w:rsidRDefault="00FE7526" w:rsidP="00014FA1">
            <w:r w:rsidRPr="007440ED">
              <w:t xml:space="preserve">Justification: Provide examples from materials as evidence to support each response for this section. Provide </w:t>
            </w:r>
            <w:r w:rsidR="003439E8" w:rsidRPr="007440ED">
              <w:t>descriptions</w:t>
            </w:r>
            <w:r w:rsidRPr="007440ED">
              <w:t>, not just page numbers.</w:t>
            </w:r>
          </w:p>
        </w:tc>
      </w:tr>
      <w:tr w:rsidR="00B75DC8" w:rsidRPr="00F2697E" w:rsidTr="007440ED">
        <w:trPr>
          <w:trHeight w:val="783"/>
        </w:trPr>
        <w:tc>
          <w:tcPr>
            <w:tcW w:w="1813" w:type="pct"/>
            <w:tcBorders>
              <w:top w:val="single" w:sz="4" w:space="0" w:color="auto"/>
            </w:tcBorders>
            <w:noWrap/>
          </w:tcPr>
          <w:p w:rsidR="00B75DC8" w:rsidRPr="005E01D6" w:rsidRDefault="00B75DC8" w:rsidP="00B75DC8">
            <w:r w:rsidRPr="005E01D6">
              <w:t>CTE WELD.6.1.1 Identify and explain the use of FCAW-G equipment.</w:t>
            </w:r>
          </w:p>
        </w:tc>
        <w:tc>
          <w:tcPr>
            <w:tcW w:w="3187" w:type="pct"/>
            <w:tcBorders>
              <w:top w:val="single" w:sz="4" w:space="0" w:color="auto"/>
            </w:tcBorders>
          </w:tcPr>
          <w:p w:rsidR="00B75DC8" w:rsidRPr="00B45EF1" w:rsidRDefault="00B75DC8" w:rsidP="00B75DC8"/>
        </w:tc>
      </w:tr>
      <w:tr w:rsidR="00B75DC8" w:rsidRPr="00F2697E" w:rsidTr="007440ED">
        <w:trPr>
          <w:trHeight w:val="783"/>
        </w:trPr>
        <w:tc>
          <w:tcPr>
            <w:tcW w:w="1813" w:type="pct"/>
            <w:noWrap/>
          </w:tcPr>
          <w:p w:rsidR="00B75DC8" w:rsidRPr="005E01D6" w:rsidRDefault="00B75DC8" w:rsidP="00B75DC8">
            <w:r w:rsidRPr="005E01D6">
              <w:t>CTE WELD.6.1.2 Perform safety inspections of FCAW-G equipment and accessories.</w:t>
            </w:r>
          </w:p>
        </w:tc>
        <w:tc>
          <w:tcPr>
            <w:tcW w:w="3187" w:type="pct"/>
          </w:tcPr>
          <w:p w:rsidR="00B75DC8" w:rsidRPr="00B45EF1" w:rsidRDefault="00B75DC8" w:rsidP="00B75DC8"/>
        </w:tc>
      </w:tr>
      <w:tr w:rsidR="00B75DC8" w:rsidRPr="00F2697E" w:rsidTr="007440ED">
        <w:trPr>
          <w:trHeight w:val="783"/>
        </w:trPr>
        <w:tc>
          <w:tcPr>
            <w:tcW w:w="1813" w:type="pct"/>
            <w:noWrap/>
          </w:tcPr>
          <w:p w:rsidR="00B75DC8" w:rsidRPr="005E01D6" w:rsidRDefault="00B75DC8" w:rsidP="00B75DC8">
            <w:r w:rsidRPr="005E01D6">
              <w:t>CTE WELD.6.1.3 Maintain FCAW-G equipment and accessories.</w:t>
            </w:r>
          </w:p>
        </w:tc>
        <w:tc>
          <w:tcPr>
            <w:tcW w:w="3187" w:type="pct"/>
          </w:tcPr>
          <w:p w:rsidR="00B75DC8" w:rsidRPr="00B45EF1" w:rsidRDefault="00B75DC8" w:rsidP="00B75DC8"/>
        </w:tc>
      </w:tr>
      <w:tr w:rsidR="00B75DC8" w:rsidRPr="00F2697E" w:rsidTr="007440ED">
        <w:trPr>
          <w:trHeight w:val="783"/>
        </w:trPr>
        <w:tc>
          <w:tcPr>
            <w:tcW w:w="1813" w:type="pct"/>
            <w:noWrap/>
          </w:tcPr>
          <w:p w:rsidR="00B75DC8" w:rsidRDefault="00B75DC8" w:rsidP="00B75DC8">
            <w:r w:rsidRPr="005E01D6">
              <w:t>CTE WELD.6.1.4 Demonstrate safe startup, shutdown, disassembly, and cylinder exchange procedures of FCAW-G equipment.</w:t>
            </w:r>
          </w:p>
        </w:tc>
        <w:tc>
          <w:tcPr>
            <w:tcW w:w="3187" w:type="pct"/>
          </w:tcPr>
          <w:p w:rsidR="00B75DC8" w:rsidRPr="00B45EF1" w:rsidRDefault="00B75DC8" w:rsidP="00B75DC8"/>
        </w:tc>
      </w:tr>
    </w:tbl>
    <w:p w:rsidR="00895824" w:rsidRPr="00895824" w:rsidRDefault="00B75DC8" w:rsidP="00895824">
      <w:pPr>
        <w:pStyle w:val="Heading3"/>
        <w:rPr>
          <w:color w:val="auto"/>
        </w:rPr>
      </w:pPr>
      <w:r w:rsidRPr="00B75DC8">
        <w:rPr>
          <w:rFonts w:eastAsia="Times New Roman"/>
          <w:color w:val="auto"/>
        </w:rPr>
        <w:t>Performance Standard WELD.6.2 Produce Welds Using FCAW-G on Carbon Steel</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6.2 table"/>
      </w:tblPr>
      <w:tblGrid>
        <w:gridCol w:w="3374"/>
        <w:gridCol w:w="5931"/>
      </w:tblGrid>
      <w:tr w:rsidR="00DD56D6" w:rsidRPr="007440ED" w:rsidTr="007440ED">
        <w:trPr>
          <w:cnfStyle w:val="100000000000" w:firstRow="1" w:lastRow="0" w:firstColumn="0" w:lastColumn="0" w:oddVBand="0" w:evenVBand="0" w:oddHBand="0" w:evenHBand="0" w:firstRowFirstColumn="0" w:firstRowLastColumn="0" w:lastRowFirstColumn="0" w:lastRowLastColumn="0"/>
          <w:trHeight w:val="783"/>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DD56D6" w:rsidRPr="007440ED" w:rsidRDefault="00DD56D6" w:rsidP="00DD56D6">
            <w:pPr>
              <w:rPr>
                <w:rFonts w:eastAsia="Times New Roman"/>
              </w:rPr>
            </w:pPr>
            <w:r w:rsidRPr="007440ED">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DD56D6" w:rsidRPr="007440ED" w:rsidRDefault="00DD56D6" w:rsidP="00DD56D6">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B75DC8" w:rsidRPr="00F2697E" w:rsidTr="007440ED">
        <w:trPr>
          <w:trHeight w:val="783"/>
        </w:trPr>
        <w:tc>
          <w:tcPr>
            <w:tcW w:w="1813" w:type="pct"/>
            <w:tcBorders>
              <w:top w:val="single" w:sz="4" w:space="0" w:color="auto"/>
            </w:tcBorders>
            <w:noWrap/>
          </w:tcPr>
          <w:p w:rsidR="00B75DC8" w:rsidRPr="00A902EE" w:rsidRDefault="00B75DC8" w:rsidP="00B75DC8">
            <w:r w:rsidRPr="00A902EE">
              <w:t>CTE WELD.6.2.1 Set up for FCAW-G operations.</w:t>
            </w:r>
          </w:p>
        </w:tc>
        <w:tc>
          <w:tcPr>
            <w:tcW w:w="3187" w:type="pct"/>
            <w:tcBorders>
              <w:top w:val="single" w:sz="4" w:space="0" w:color="auto"/>
            </w:tcBorders>
          </w:tcPr>
          <w:p w:rsidR="00B75DC8" w:rsidRPr="00B45EF1" w:rsidRDefault="00B75DC8" w:rsidP="00B75DC8"/>
        </w:tc>
      </w:tr>
      <w:tr w:rsidR="00B75DC8" w:rsidRPr="00F2697E" w:rsidTr="007440ED">
        <w:trPr>
          <w:trHeight w:val="783"/>
        </w:trPr>
        <w:tc>
          <w:tcPr>
            <w:tcW w:w="1813" w:type="pct"/>
            <w:noWrap/>
          </w:tcPr>
          <w:p w:rsidR="00B75DC8" w:rsidRPr="00A902EE" w:rsidRDefault="00B75DC8" w:rsidP="00B75DC8">
            <w:r w:rsidRPr="00A902EE">
              <w:t>CTE WELD.6.2.2 Operate FCAW-G equipment.</w:t>
            </w:r>
          </w:p>
        </w:tc>
        <w:tc>
          <w:tcPr>
            <w:tcW w:w="3187" w:type="pct"/>
          </w:tcPr>
          <w:p w:rsidR="00B75DC8" w:rsidRPr="00B45EF1" w:rsidRDefault="00B75DC8" w:rsidP="00B75DC8"/>
        </w:tc>
      </w:tr>
      <w:tr w:rsidR="00B75DC8" w:rsidRPr="00F2697E" w:rsidTr="007440ED">
        <w:trPr>
          <w:trHeight w:val="783"/>
        </w:trPr>
        <w:tc>
          <w:tcPr>
            <w:tcW w:w="1813" w:type="pct"/>
            <w:noWrap/>
          </w:tcPr>
          <w:p w:rsidR="00B75DC8" w:rsidRPr="00A902EE" w:rsidRDefault="00B75DC8" w:rsidP="00B75DC8">
            <w:r w:rsidRPr="00A902EE">
              <w:t>CTE WELD.6.2.3 Perform welds in the 1F position.</w:t>
            </w:r>
          </w:p>
        </w:tc>
        <w:tc>
          <w:tcPr>
            <w:tcW w:w="3187" w:type="pct"/>
          </w:tcPr>
          <w:p w:rsidR="00B75DC8" w:rsidRPr="00B45EF1" w:rsidRDefault="00B75DC8" w:rsidP="00B75DC8"/>
        </w:tc>
      </w:tr>
      <w:tr w:rsidR="00B75DC8" w:rsidRPr="00F2697E" w:rsidTr="007440ED">
        <w:trPr>
          <w:trHeight w:val="783"/>
        </w:trPr>
        <w:tc>
          <w:tcPr>
            <w:tcW w:w="1813" w:type="pct"/>
            <w:noWrap/>
          </w:tcPr>
          <w:p w:rsidR="00B75DC8" w:rsidRPr="00A902EE" w:rsidRDefault="00B75DC8" w:rsidP="00B75DC8">
            <w:r w:rsidRPr="00A902EE">
              <w:t>CTE WELD.6.2.4 Perform welds in the 2F position.</w:t>
            </w:r>
          </w:p>
        </w:tc>
        <w:tc>
          <w:tcPr>
            <w:tcW w:w="3187" w:type="pct"/>
          </w:tcPr>
          <w:p w:rsidR="00B75DC8" w:rsidRPr="00B45EF1" w:rsidRDefault="00B75DC8" w:rsidP="00B75DC8"/>
        </w:tc>
      </w:tr>
      <w:tr w:rsidR="00B75DC8" w:rsidRPr="00F2697E" w:rsidTr="007440ED">
        <w:trPr>
          <w:trHeight w:val="783"/>
        </w:trPr>
        <w:tc>
          <w:tcPr>
            <w:tcW w:w="1813" w:type="pct"/>
            <w:noWrap/>
          </w:tcPr>
          <w:p w:rsidR="00B75DC8" w:rsidRPr="00A902EE" w:rsidRDefault="00B75DC8" w:rsidP="00B75DC8">
            <w:r w:rsidRPr="00A902EE">
              <w:lastRenderedPageBreak/>
              <w:t>CTE WELD.6.2.5 Perform welds in the 3F position.</w:t>
            </w:r>
          </w:p>
        </w:tc>
        <w:tc>
          <w:tcPr>
            <w:tcW w:w="3187" w:type="pct"/>
          </w:tcPr>
          <w:p w:rsidR="00B75DC8" w:rsidRPr="00B45EF1" w:rsidRDefault="00B75DC8" w:rsidP="00B75DC8"/>
        </w:tc>
      </w:tr>
      <w:tr w:rsidR="00B75DC8" w:rsidRPr="00F2697E" w:rsidTr="007440ED">
        <w:trPr>
          <w:trHeight w:val="783"/>
        </w:trPr>
        <w:tc>
          <w:tcPr>
            <w:tcW w:w="1813" w:type="pct"/>
            <w:noWrap/>
          </w:tcPr>
          <w:p w:rsidR="00B75DC8" w:rsidRPr="00A902EE" w:rsidRDefault="00B75DC8" w:rsidP="00B75DC8">
            <w:r w:rsidRPr="00A902EE">
              <w:t>CTE WELD.6.2.6 Perform welds in the 4F position.</w:t>
            </w:r>
          </w:p>
        </w:tc>
        <w:tc>
          <w:tcPr>
            <w:tcW w:w="3187" w:type="pct"/>
          </w:tcPr>
          <w:p w:rsidR="00B75DC8" w:rsidRPr="00B45EF1" w:rsidRDefault="00B75DC8" w:rsidP="00B75DC8"/>
        </w:tc>
      </w:tr>
      <w:tr w:rsidR="00B75DC8" w:rsidRPr="00F2697E" w:rsidTr="007440ED">
        <w:trPr>
          <w:trHeight w:val="783"/>
        </w:trPr>
        <w:tc>
          <w:tcPr>
            <w:tcW w:w="1813" w:type="pct"/>
            <w:noWrap/>
          </w:tcPr>
          <w:p w:rsidR="00B75DC8" w:rsidRPr="00A902EE" w:rsidRDefault="00B75DC8" w:rsidP="00B75DC8">
            <w:r w:rsidRPr="00A902EE">
              <w:t>CTE WELD.6.2.7 Perform welds in the 1G position.</w:t>
            </w:r>
          </w:p>
        </w:tc>
        <w:tc>
          <w:tcPr>
            <w:tcW w:w="3187" w:type="pct"/>
          </w:tcPr>
          <w:p w:rsidR="00B75DC8" w:rsidRPr="00B45EF1" w:rsidRDefault="00B75DC8" w:rsidP="00B75DC8"/>
        </w:tc>
      </w:tr>
      <w:tr w:rsidR="00B75DC8" w:rsidRPr="00F2697E" w:rsidTr="007440ED">
        <w:trPr>
          <w:trHeight w:val="783"/>
        </w:trPr>
        <w:tc>
          <w:tcPr>
            <w:tcW w:w="1813" w:type="pct"/>
            <w:noWrap/>
          </w:tcPr>
          <w:p w:rsidR="00B75DC8" w:rsidRPr="00A902EE" w:rsidRDefault="00B75DC8" w:rsidP="00B75DC8">
            <w:r w:rsidRPr="00A902EE">
              <w:t>CTE WELD.6.2.8 Perform welds in the 2G position.</w:t>
            </w:r>
          </w:p>
        </w:tc>
        <w:tc>
          <w:tcPr>
            <w:tcW w:w="3187" w:type="pct"/>
          </w:tcPr>
          <w:p w:rsidR="00B75DC8" w:rsidRPr="00B45EF1" w:rsidRDefault="00B75DC8" w:rsidP="00B75DC8"/>
        </w:tc>
      </w:tr>
      <w:tr w:rsidR="00B75DC8" w:rsidRPr="00F2697E" w:rsidTr="007440ED">
        <w:trPr>
          <w:trHeight w:val="783"/>
        </w:trPr>
        <w:tc>
          <w:tcPr>
            <w:tcW w:w="1813" w:type="pct"/>
            <w:noWrap/>
          </w:tcPr>
          <w:p w:rsidR="00B75DC8" w:rsidRDefault="00B75DC8" w:rsidP="00B75DC8">
            <w:r w:rsidRPr="00A902EE">
              <w:t>CTE WELD.6.2.9 Perform welds in the 3G position.</w:t>
            </w:r>
          </w:p>
        </w:tc>
        <w:tc>
          <w:tcPr>
            <w:tcW w:w="3187" w:type="pct"/>
          </w:tcPr>
          <w:p w:rsidR="00B75DC8" w:rsidRPr="00B45EF1" w:rsidRDefault="00B75DC8" w:rsidP="00B75DC8"/>
        </w:tc>
      </w:tr>
    </w:tbl>
    <w:p w:rsidR="003411D8" w:rsidRDefault="003411D8" w:rsidP="00DD56D6">
      <w:pPr>
        <w:pStyle w:val="Heading3"/>
        <w:rPr>
          <w:rStyle w:val="IntenseEmphasis"/>
          <w:rFonts w:eastAsiaTheme="minorHAnsi" w:cstheme="minorBidi"/>
          <w:b/>
          <w:bCs/>
          <w:color w:val="417FD0" w:themeColor="text2" w:themeTint="99"/>
          <w:sz w:val="28"/>
          <w:szCs w:val="28"/>
        </w:rPr>
      </w:pPr>
    </w:p>
    <w:p w:rsidR="003411D8" w:rsidRDefault="00B75DC8" w:rsidP="00DD56D6">
      <w:pPr>
        <w:pStyle w:val="Heading3"/>
        <w:rPr>
          <w:rStyle w:val="IntenseEmphasis"/>
          <w:rFonts w:eastAsiaTheme="minorHAnsi" w:cstheme="minorBidi"/>
          <w:b/>
          <w:bCs/>
          <w:color w:val="417FD0" w:themeColor="text2" w:themeTint="99"/>
          <w:sz w:val="28"/>
          <w:szCs w:val="28"/>
        </w:rPr>
      </w:pPr>
      <w:r w:rsidRPr="00B75DC8">
        <w:rPr>
          <w:rStyle w:val="IntenseEmphasis"/>
          <w:b/>
          <w:color w:val="417FD0" w:themeColor="text2" w:themeTint="99"/>
          <w:sz w:val="28"/>
          <w:szCs w:val="28"/>
        </w:rPr>
        <w:t>Standard WELD.7.0: Apply Gas Tungsten Arc Welding (GWAW) Techniques</w:t>
      </w:r>
    </w:p>
    <w:p w:rsidR="00FE7526" w:rsidRPr="00DD56D6" w:rsidRDefault="00B75DC8" w:rsidP="00DD56D6">
      <w:pPr>
        <w:pStyle w:val="Heading3"/>
        <w:rPr>
          <w:rStyle w:val="IntenseEmphasis"/>
          <w:b/>
          <w:color w:val="auto"/>
          <w:sz w:val="28"/>
          <w:szCs w:val="28"/>
        </w:rPr>
      </w:pPr>
      <w:r w:rsidRPr="00B75DC8">
        <w:rPr>
          <w:rFonts w:eastAsia="Times New Roman"/>
          <w:color w:val="auto"/>
        </w:rPr>
        <w:t>Performance Standard WELD.7.1 Utilize Safety Procedures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FE7526"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7440ED" w:rsidRDefault="00FE7526" w:rsidP="003411D8">
            <w:pPr>
              <w:rPr>
                <w:rFonts w:eastAsia="Times New Roman"/>
              </w:rPr>
            </w:pPr>
            <w:r w:rsidRPr="007440ED">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7440ED" w:rsidRDefault="00FE7526" w:rsidP="003411D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B75DC8" w:rsidRPr="00F2697E" w:rsidTr="007440ED">
        <w:trPr>
          <w:trHeight w:val="85"/>
        </w:trPr>
        <w:tc>
          <w:tcPr>
            <w:tcW w:w="1813" w:type="pct"/>
            <w:tcBorders>
              <w:top w:val="single" w:sz="4" w:space="0" w:color="auto"/>
            </w:tcBorders>
            <w:noWrap/>
          </w:tcPr>
          <w:p w:rsidR="00B75DC8" w:rsidRPr="00B63E4C" w:rsidRDefault="00B75DC8" w:rsidP="00B75DC8">
            <w:r w:rsidRPr="00B63E4C">
              <w:t>CTE WELD.7.1.1 Perform safety inspections of GTAW equipment and accessories.</w:t>
            </w:r>
          </w:p>
        </w:tc>
        <w:tc>
          <w:tcPr>
            <w:tcW w:w="3187" w:type="pct"/>
            <w:tcBorders>
              <w:top w:val="single" w:sz="4" w:space="0" w:color="auto"/>
            </w:tcBorders>
          </w:tcPr>
          <w:p w:rsidR="00B75DC8" w:rsidRPr="003411D8" w:rsidRDefault="00B75DC8" w:rsidP="00B75DC8"/>
        </w:tc>
      </w:tr>
      <w:tr w:rsidR="00B75DC8" w:rsidRPr="00F2697E" w:rsidTr="007440ED">
        <w:trPr>
          <w:trHeight w:val="1016"/>
        </w:trPr>
        <w:tc>
          <w:tcPr>
            <w:tcW w:w="1813" w:type="pct"/>
            <w:noWrap/>
          </w:tcPr>
          <w:p w:rsidR="00B75DC8" w:rsidRPr="00B63E4C" w:rsidRDefault="00B75DC8" w:rsidP="00B75DC8">
            <w:r w:rsidRPr="00B63E4C">
              <w:t>CTE WELD.7.1.2 Maintain GTAW equipment and accessories.</w:t>
            </w:r>
          </w:p>
        </w:tc>
        <w:tc>
          <w:tcPr>
            <w:tcW w:w="3187" w:type="pct"/>
          </w:tcPr>
          <w:p w:rsidR="00B75DC8" w:rsidRPr="003411D8" w:rsidRDefault="00B75DC8" w:rsidP="00B75DC8"/>
        </w:tc>
      </w:tr>
      <w:tr w:rsidR="00B75DC8" w:rsidRPr="003411D8" w:rsidTr="007440ED">
        <w:trPr>
          <w:trHeight w:val="1016"/>
        </w:trPr>
        <w:tc>
          <w:tcPr>
            <w:tcW w:w="1813" w:type="pct"/>
            <w:noWrap/>
          </w:tcPr>
          <w:p w:rsidR="00B75DC8" w:rsidRDefault="00B75DC8" w:rsidP="00B75DC8">
            <w:r w:rsidRPr="00B63E4C">
              <w:t>CTE WELD.7.1.3 Demonstrate safe startup, shutdown, disassembly, and cylinder exchange procedures of GTAW equipment.</w:t>
            </w:r>
          </w:p>
        </w:tc>
        <w:tc>
          <w:tcPr>
            <w:tcW w:w="3187" w:type="pct"/>
          </w:tcPr>
          <w:p w:rsidR="00B75DC8" w:rsidRPr="003411D8" w:rsidRDefault="00B75DC8" w:rsidP="00B75DC8"/>
        </w:tc>
      </w:tr>
    </w:tbl>
    <w:p w:rsidR="003411D8" w:rsidRPr="00DD56D6" w:rsidRDefault="00B75DC8" w:rsidP="003411D8">
      <w:pPr>
        <w:pStyle w:val="Heading3"/>
        <w:rPr>
          <w:rStyle w:val="IntenseEmphasis"/>
          <w:b/>
          <w:color w:val="auto"/>
          <w:sz w:val="28"/>
          <w:szCs w:val="28"/>
        </w:rPr>
      </w:pPr>
      <w:r w:rsidRPr="00B75DC8">
        <w:rPr>
          <w:rFonts w:eastAsia="Times New Roman"/>
          <w:color w:val="auto"/>
        </w:rPr>
        <w:lastRenderedPageBreak/>
        <w:t>Performance Standard WELD.7.2 Produce Welds Using GTAW on Carbon Steel</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7440ED" w:rsidRDefault="003411D8" w:rsidP="003411D8">
            <w:pPr>
              <w:rPr>
                <w:rFonts w:eastAsia="Times New Roman"/>
              </w:rPr>
            </w:pPr>
            <w:r w:rsidRPr="007440ED">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7440ED" w:rsidRDefault="003411D8" w:rsidP="003411D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B75DC8" w:rsidRPr="00F2697E" w:rsidTr="007440ED">
        <w:trPr>
          <w:trHeight w:val="85"/>
        </w:trPr>
        <w:tc>
          <w:tcPr>
            <w:tcW w:w="1813" w:type="pct"/>
            <w:tcBorders>
              <w:top w:val="single" w:sz="4" w:space="0" w:color="auto"/>
            </w:tcBorders>
            <w:noWrap/>
          </w:tcPr>
          <w:p w:rsidR="00B75DC8" w:rsidRPr="002E2433" w:rsidRDefault="00B75DC8" w:rsidP="00B75DC8">
            <w:r w:rsidRPr="002E2433">
              <w:t>CTE WELD.7.2.1 Set up for GTAW operations.</w:t>
            </w:r>
          </w:p>
        </w:tc>
        <w:tc>
          <w:tcPr>
            <w:tcW w:w="3187" w:type="pct"/>
            <w:tcBorders>
              <w:top w:val="single" w:sz="4" w:space="0" w:color="auto"/>
            </w:tcBorders>
          </w:tcPr>
          <w:p w:rsidR="00B75DC8" w:rsidRPr="003411D8" w:rsidRDefault="00B75DC8" w:rsidP="00B75DC8"/>
        </w:tc>
      </w:tr>
      <w:tr w:rsidR="00B75DC8" w:rsidRPr="00F2697E" w:rsidTr="007440ED">
        <w:trPr>
          <w:trHeight w:val="1016"/>
        </w:trPr>
        <w:tc>
          <w:tcPr>
            <w:tcW w:w="1813" w:type="pct"/>
            <w:noWrap/>
          </w:tcPr>
          <w:p w:rsidR="00B75DC8" w:rsidRPr="002E2433" w:rsidRDefault="00B75DC8" w:rsidP="00B75DC8">
            <w:r w:rsidRPr="002E2433">
              <w:t>CTE WELD.7.2.2 Operate GTAW equipment.</w:t>
            </w:r>
          </w:p>
        </w:tc>
        <w:tc>
          <w:tcPr>
            <w:tcW w:w="3187" w:type="pct"/>
          </w:tcPr>
          <w:p w:rsidR="00B75DC8" w:rsidRPr="003411D8" w:rsidRDefault="00B75DC8" w:rsidP="00B75DC8"/>
        </w:tc>
      </w:tr>
      <w:tr w:rsidR="00B75DC8" w:rsidRPr="003411D8" w:rsidTr="007440ED">
        <w:trPr>
          <w:trHeight w:val="1016"/>
        </w:trPr>
        <w:tc>
          <w:tcPr>
            <w:tcW w:w="1813" w:type="pct"/>
            <w:noWrap/>
          </w:tcPr>
          <w:p w:rsidR="00B75DC8" w:rsidRPr="002E2433" w:rsidRDefault="00B75DC8" w:rsidP="00B75DC8">
            <w:r w:rsidRPr="002E2433">
              <w:t>CTE WELD.7.2.3 Perform welds in the 1F position.</w:t>
            </w:r>
          </w:p>
        </w:tc>
        <w:tc>
          <w:tcPr>
            <w:tcW w:w="3187" w:type="pct"/>
          </w:tcPr>
          <w:p w:rsidR="00B75DC8" w:rsidRPr="003411D8" w:rsidRDefault="00B75DC8" w:rsidP="00B75DC8"/>
        </w:tc>
      </w:tr>
      <w:tr w:rsidR="00B75DC8" w:rsidRPr="00F2697E" w:rsidTr="007440ED">
        <w:trPr>
          <w:trHeight w:val="1016"/>
        </w:trPr>
        <w:tc>
          <w:tcPr>
            <w:tcW w:w="1813" w:type="pct"/>
            <w:noWrap/>
          </w:tcPr>
          <w:p w:rsidR="00B75DC8" w:rsidRPr="002E2433" w:rsidRDefault="00B75DC8" w:rsidP="00B75DC8">
            <w:r w:rsidRPr="002E2433">
              <w:t>CTE WELD.7.2.4 Perform welds in the 2F position.</w:t>
            </w:r>
          </w:p>
        </w:tc>
        <w:tc>
          <w:tcPr>
            <w:tcW w:w="3187" w:type="pct"/>
          </w:tcPr>
          <w:p w:rsidR="00B75DC8" w:rsidRPr="003411D8" w:rsidRDefault="00B75DC8" w:rsidP="00B75DC8"/>
        </w:tc>
      </w:tr>
      <w:tr w:rsidR="00B75DC8" w:rsidRPr="00F2697E" w:rsidTr="007440ED">
        <w:trPr>
          <w:trHeight w:val="1016"/>
        </w:trPr>
        <w:tc>
          <w:tcPr>
            <w:tcW w:w="1813" w:type="pct"/>
            <w:noWrap/>
          </w:tcPr>
          <w:p w:rsidR="00B75DC8" w:rsidRPr="002E2433" w:rsidRDefault="00B75DC8" w:rsidP="00B75DC8">
            <w:r w:rsidRPr="002E2433">
              <w:t>CTE WELD.7.2.5 Perform welds in the 3F position.</w:t>
            </w:r>
          </w:p>
        </w:tc>
        <w:tc>
          <w:tcPr>
            <w:tcW w:w="3187" w:type="pct"/>
          </w:tcPr>
          <w:p w:rsidR="00B75DC8" w:rsidRPr="003411D8" w:rsidRDefault="00B75DC8" w:rsidP="00B75DC8"/>
        </w:tc>
      </w:tr>
      <w:tr w:rsidR="00B75DC8" w:rsidRPr="00F2697E" w:rsidTr="007440ED">
        <w:trPr>
          <w:trHeight w:val="1016"/>
        </w:trPr>
        <w:tc>
          <w:tcPr>
            <w:tcW w:w="1813" w:type="pct"/>
            <w:noWrap/>
          </w:tcPr>
          <w:p w:rsidR="00B75DC8" w:rsidRPr="002E2433" w:rsidRDefault="00B75DC8" w:rsidP="00B75DC8">
            <w:r w:rsidRPr="002E2433">
              <w:t>CTE WELD.7.2.6 Perform welds in the 1G position.</w:t>
            </w:r>
          </w:p>
        </w:tc>
        <w:tc>
          <w:tcPr>
            <w:tcW w:w="3187" w:type="pct"/>
          </w:tcPr>
          <w:p w:rsidR="00B75DC8" w:rsidRPr="003411D8" w:rsidRDefault="00B75DC8" w:rsidP="00B75DC8"/>
        </w:tc>
      </w:tr>
      <w:tr w:rsidR="00B75DC8" w:rsidRPr="00F2697E" w:rsidTr="007440ED">
        <w:trPr>
          <w:trHeight w:val="1016"/>
        </w:trPr>
        <w:tc>
          <w:tcPr>
            <w:tcW w:w="1813" w:type="pct"/>
            <w:noWrap/>
          </w:tcPr>
          <w:p w:rsidR="00B75DC8" w:rsidRPr="002E2433" w:rsidRDefault="00B75DC8" w:rsidP="00B75DC8">
            <w:r w:rsidRPr="002E2433">
              <w:t>CTE WELD.7.2.7 Perform welds in the 2G position.</w:t>
            </w:r>
          </w:p>
        </w:tc>
        <w:tc>
          <w:tcPr>
            <w:tcW w:w="3187" w:type="pct"/>
          </w:tcPr>
          <w:p w:rsidR="00B75DC8" w:rsidRPr="003411D8" w:rsidRDefault="00B75DC8" w:rsidP="00B75DC8"/>
        </w:tc>
      </w:tr>
      <w:tr w:rsidR="00B75DC8" w:rsidRPr="00F2697E" w:rsidTr="007440ED">
        <w:trPr>
          <w:trHeight w:val="1016"/>
        </w:trPr>
        <w:tc>
          <w:tcPr>
            <w:tcW w:w="1813" w:type="pct"/>
            <w:noWrap/>
          </w:tcPr>
          <w:p w:rsidR="00B75DC8" w:rsidRDefault="00B75DC8" w:rsidP="00B75DC8">
            <w:r w:rsidRPr="002E2433">
              <w:t>CTE WELD.7.2.8 Perform welds in the 3G position.</w:t>
            </w:r>
          </w:p>
        </w:tc>
        <w:tc>
          <w:tcPr>
            <w:tcW w:w="3187" w:type="pct"/>
          </w:tcPr>
          <w:p w:rsidR="00B75DC8" w:rsidRPr="003411D8" w:rsidRDefault="00B75DC8" w:rsidP="00B75DC8"/>
        </w:tc>
      </w:tr>
    </w:tbl>
    <w:p w:rsidR="007440ED" w:rsidRDefault="007440ED" w:rsidP="003411D8">
      <w:pPr>
        <w:pStyle w:val="Heading3"/>
        <w:rPr>
          <w:rFonts w:eastAsia="Times New Roman"/>
          <w:color w:val="auto"/>
        </w:rPr>
      </w:pPr>
    </w:p>
    <w:p w:rsidR="007440ED" w:rsidRDefault="007440ED" w:rsidP="007440ED"/>
    <w:p w:rsidR="007440ED" w:rsidRPr="007440ED" w:rsidRDefault="007440ED" w:rsidP="007440ED"/>
    <w:p w:rsidR="003411D8" w:rsidRPr="00DD56D6" w:rsidRDefault="00B75DC8" w:rsidP="003411D8">
      <w:pPr>
        <w:pStyle w:val="Heading3"/>
        <w:rPr>
          <w:rStyle w:val="IntenseEmphasis"/>
          <w:b/>
          <w:color w:val="auto"/>
          <w:sz w:val="28"/>
          <w:szCs w:val="28"/>
        </w:rPr>
      </w:pPr>
      <w:r w:rsidRPr="00B75DC8">
        <w:rPr>
          <w:rFonts w:eastAsia="Times New Roman"/>
          <w:color w:val="auto"/>
        </w:rPr>
        <w:lastRenderedPageBreak/>
        <w:t>Performance Standard WELD.7.3 Produce Welds Using GTAW on Aluminum</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s AMNF 7.1 table"/>
      </w:tblPr>
      <w:tblGrid>
        <w:gridCol w:w="3374"/>
        <w:gridCol w:w="5931"/>
      </w:tblGrid>
      <w:tr w:rsidR="003411D8"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7440ED" w:rsidRDefault="003411D8" w:rsidP="003411D8">
            <w:pPr>
              <w:rPr>
                <w:rFonts w:eastAsia="Times New Roman"/>
              </w:rPr>
            </w:pPr>
            <w:r w:rsidRPr="007440ED">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7440ED" w:rsidRDefault="003411D8" w:rsidP="003411D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B75DC8" w:rsidRPr="00F2697E" w:rsidTr="007440ED">
        <w:trPr>
          <w:trHeight w:val="85"/>
        </w:trPr>
        <w:tc>
          <w:tcPr>
            <w:tcW w:w="1813" w:type="pct"/>
            <w:tcBorders>
              <w:top w:val="single" w:sz="4" w:space="0" w:color="auto"/>
            </w:tcBorders>
            <w:noWrap/>
          </w:tcPr>
          <w:p w:rsidR="00B75DC8" w:rsidRPr="00442F2F" w:rsidRDefault="00B75DC8" w:rsidP="00B75DC8">
            <w:r w:rsidRPr="00442F2F">
              <w:t>CTE WELD.7.3.1 Set up for GTAW operations.</w:t>
            </w:r>
          </w:p>
        </w:tc>
        <w:tc>
          <w:tcPr>
            <w:tcW w:w="3187" w:type="pct"/>
            <w:tcBorders>
              <w:top w:val="single" w:sz="4" w:space="0" w:color="auto"/>
            </w:tcBorders>
          </w:tcPr>
          <w:p w:rsidR="00B75DC8" w:rsidRPr="003411D8" w:rsidRDefault="00B75DC8" w:rsidP="00B75DC8"/>
        </w:tc>
      </w:tr>
      <w:tr w:rsidR="00B75DC8" w:rsidRPr="00F2697E" w:rsidTr="007440ED">
        <w:trPr>
          <w:trHeight w:val="1016"/>
        </w:trPr>
        <w:tc>
          <w:tcPr>
            <w:tcW w:w="1813" w:type="pct"/>
            <w:noWrap/>
          </w:tcPr>
          <w:p w:rsidR="00B75DC8" w:rsidRPr="00442F2F" w:rsidRDefault="00B75DC8" w:rsidP="00B75DC8">
            <w:r w:rsidRPr="00442F2F">
              <w:t>CTE WELD.7.3.2 Operate GTAW equipment.</w:t>
            </w:r>
          </w:p>
        </w:tc>
        <w:tc>
          <w:tcPr>
            <w:tcW w:w="3187" w:type="pct"/>
          </w:tcPr>
          <w:p w:rsidR="00B75DC8" w:rsidRPr="003411D8" w:rsidRDefault="00B75DC8" w:rsidP="00B75DC8"/>
        </w:tc>
      </w:tr>
      <w:tr w:rsidR="00B75DC8" w:rsidRPr="003411D8" w:rsidTr="007440ED">
        <w:trPr>
          <w:trHeight w:val="1016"/>
        </w:trPr>
        <w:tc>
          <w:tcPr>
            <w:tcW w:w="1813" w:type="pct"/>
            <w:noWrap/>
          </w:tcPr>
          <w:p w:rsidR="00B75DC8" w:rsidRPr="00442F2F" w:rsidRDefault="00B75DC8" w:rsidP="00B75DC8">
            <w:r w:rsidRPr="00442F2F">
              <w:t>CTE WELD.7.3.3 Perform welds in the 1F position.</w:t>
            </w:r>
          </w:p>
        </w:tc>
        <w:tc>
          <w:tcPr>
            <w:tcW w:w="3187" w:type="pct"/>
          </w:tcPr>
          <w:p w:rsidR="00B75DC8" w:rsidRPr="003411D8" w:rsidRDefault="00B75DC8" w:rsidP="00B75DC8"/>
        </w:tc>
      </w:tr>
      <w:tr w:rsidR="00B75DC8" w:rsidRPr="00F2697E" w:rsidTr="007440ED">
        <w:trPr>
          <w:trHeight w:val="1016"/>
        </w:trPr>
        <w:tc>
          <w:tcPr>
            <w:tcW w:w="1813" w:type="pct"/>
            <w:noWrap/>
          </w:tcPr>
          <w:p w:rsidR="00B75DC8" w:rsidRDefault="00B75DC8" w:rsidP="00B75DC8">
            <w:r w:rsidRPr="00442F2F">
              <w:t>CTE WELD.7.3.4 Perform welds in the 2F position.</w:t>
            </w:r>
          </w:p>
        </w:tc>
        <w:tc>
          <w:tcPr>
            <w:tcW w:w="3187" w:type="pct"/>
          </w:tcPr>
          <w:p w:rsidR="00B75DC8" w:rsidRPr="003411D8" w:rsidRDefault="00B75DC8" w:rsidP="00B75DC8"/>
        </w:tc>
      </w:tr>
    </w:tbl>
    <w:p w:rsidR="00B75DC8" w:rsidRDefault="00B75DC8" w:rsidP="00895824">
      <w:pPr>
        <w:pStyle w:val="Heading3"/>
        <w:rPr>
          <w:rStyle w:val="IntenseEmphasis"/>
          <w:rFonts w:eastAsiaTheme="minorHAnsi" w:cstheme="minorBidi"/>
          <w:b/>
          <w:color w:val="417FD0" w:themeColor="text2" w:themeTint="99"/>
          <w:sz w:val="28"/>
          <w:szCs w:val="28"/>
        </w:rPr>
      </w:pPr>
    </w:p>
    <w:p w:rsidR="00B75DC8" w:rsidRDefault="00B75DC8" w:rsidP="00B75DC8">
      <w:pPr>
        <w:rPr>
          <w:rStyle w:val="IntenseEmphasis"/>
          <w:color w:val="417FD0" w:themeColor="text2" w:themeTint="99"/>
          <w:sz w:val="28"/>
          <w:szCs w:val="28"/>
        </w:rPr>
      </w:pPr>
      <w:r>
        <w:rPr>
          <w:rStyle w:val="IntenseEmphasis"/>
          <w:b w:val="0"/>
          <w:color w:val="417FD0" w:themeColor="text2" w:themeTint="99"/>
          <w:sz w:val="28"/>
          <w:szCs w:val="28"/>
        </w:rPr>
        <w:br w:type="page"/>
      </w:r>
    </w:p>
    <w:p w:rsidR="003411D8" w:rsidRDefault="00B75DC8" w:rsidP="00895824">
      <w:pPr>
        <w:pStyle w:val="Heading3"/>
        <w:rPr>
          <w:rStyle w:val="IntenseEmphasis"/>
          <w:rFonts w:eastAsiaTheme="minorHAnsi" w:cstheme="minorBidi"/>
          <w:b/>
          <w:color w:val="417FD0" w:themeColor="text2" w:themeTint="99"/>
          <w:sz w:val="28"/>
          <w:szCs w:val="28"/>
        </w:rPr>
      </w:pPr>
      <w:r w:rsidRPr="00B75DC8">
        <w:rPr>
          <w:rStyle w:val="IntenseEmphasis"/>
          <w:rFonts w:eastAsiaTheme="minorHAnsi" w:cstheme="minorBidi"/>
          <w:b/>
          <w:color w:val="417FD0" w:themeColor="text2" w:themeTint="99"/>
          <w:sz w:val="28"/>
          <w:szCs w:val="28"/>
        </w:rPr>
        <w:lastRenderedPageBreak/>
        <w:t>Standard WELD.8.0: Apply Thermal Cutting Processes</w:t>
      </w:r>
    </w:p>
    <w:p w:rsidR="00FE7526" w:rsidRPr="00895824" w:rsidRDefault="00B75DC8" w:rsidP="00895824">
      <w:pPr>
        <w:pStyle w:val="Heading3"/>
        <w:rPr>
          <w:rStyle w:val="IntenseEmphasis"/>
          <w:b/>
          <w:color w:val="auto"/>
          <w:sz w:val="28"/>
          <w:szCs w:val="28"/>
        </w:rPr>
      </w:pPr>
      <w:r w:rsidRPr="00B75DC8">
        <w:rPr>
          <w:rFonts w:eastAsia="Times New Roman"/>
          <w:color w:val="auto"/>
        </w:rPr>
        <w:t>Performance Standard WELD.8.1 Demonstrate Oxy-Fuel Gas Cutting (OFC)</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FE7526"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FE7526" w:rsidRPr="007440ED" w:rsidRDefault="00FE7526" w:rsidP="003411D8">
            <w:pPr>
              <w:rPr>
                <w:rFonts w:eastAsia="Times New Roman"/>
              </w:rPr>
            </w:pPr>
            <w:r w:rsidRPr="007440ED">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FE7526" w:rsidRPr="007440ED" w:rsidRDefault="00FE7526" w:rsidP="003411D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B75DC8" w:rsidTr="007440ED">
        <w:trPr>
          <w:trHeight w:val="602"/>
        </w:trPr>
        <w:tc>
          <w:tcPr>
            <w:tcW w:w="1813" w:type="pct"/>
            <w:tcBorders>
              <w:top w:val="single" w:sz="4" w:space="0" w:color="auto"/>
            </w:tcBorders>
            <w:noWrap/>
          </w:tcPr>
          <w:p w:rsidR="00B75DC8" w:rsidRPr="002B5A5E" w:rsidRDefault="00B75DC8" w:rsidP="00B75DC8">
            <w:r w:rsidRPr="002B5A5E">
              <w:t>CTE WELD.8.1.1 Perform safety inspections of OFC equipment and accessories.</w:t>
            </w:r>
          </w:p>
        </w:tc>
        <w:tc>
          <w:tcPr>
            <w:tcW w:w="3187" w:type="pct"/>
            <w:tcBorders>
              <w:top w:val="single" w:sz="4" w:space="0" w:color="auto"/>
            </w:tcBorders>
          </w:tcPr>
          <w:p w:rsidR="00B75DC8" w:rsidRPr="003411D8" w:rsidRDefault="00B75DC8" w:rsidP="00B75DC8"/>
        </w:tc>
      </w:tr>
      <w:tr w:rsidR="00B75DC8" w:rsidTr="007440ED">
        <w:trPr>
          <w:trHeight w:val="602"/>
        </w:trPr>
        <w:tc>
          <w:tcPr>
            <w:tcW w:w="1813" w:type="pct"/>
            <w:noWrap/>
          </w:tcPr>
          <w:p w:rsidR="00B75DC8" w:rsidRPr="002B5A5E" w:rsidRDefault="00B75DC8" w:rsidP="00B75DC8">
            <w:r w:rsidRPr="002B5A5E">
              <w:t>CTE WELD.8.1.2 Maintain OFC equipment and accessories.</w:t>
            </w:r>
          </w:p>
        </w:tc>
        <w:tc>
          <w:tcPr>
            <w:tcW w:w="3187" w:type="pct"/>
          </w:tcPr>
          <w:p w:rsidR="00B75DC8" w:rsidRPr="003411D8" w:rsidRDefault="00B75DC8" w:rsidP="00B75DC8"/>
        </w:tc>
      </w:tr>
      <w:tr w:rsidR="00B75DC8" w:rsidTr="007440ED">
        <w:trPr>
          <w:trHeight w:val="602"/>
        </w:trPr>
        <w:tc>
          <w:tcPr>
            <w:tcW w:w="1813" w:type="pct"/>
            <w:noWrap/>
          </w:tcPr>
          <w:p w:rsidR="00B75DC8" w:rsidRPr="002B5A5E" w:rsidRDefault="00B75DC8" w:rsidP="00B75DC8">
            <w:r w:rsidRPr="002B5A5E">
              <w:t>CTE WELD.8.1.3 Demonstrate safe startup, shutdown, disassembly, and cylinder exchange procedures of OFC equipment.</w:t>
            </w:r>
          </w:p>
        </w:tc>
        <w:tc>
          <w:tcPr>
            <w:tcW w:w="3187" w:type="pct"/>
          </w:tcPr>
          <w:p w:rsidR="00B75DC8" w:rsidRPr="003411D8" w:rsidRDefault="00B75DC8" w:rsidP="00B75DC8"/>
        </w:tc>
      </w:tr>
      <w:tr w:rsidR="00B75DC8" w:rsidTr="007440ED">
        <w:trPr>
          <w:trHeight w:val="602"/>
        </w:trPr>
        <w:tc>
          <w:tcPr>
            <w:tcW w:w="1813" w:type="pct"/>
            <w:noWrap/>
          </w:tcPr>
          <w:p w:rsidR="00B75DC8" w:rsidRPr="002B5A5E" w:rsidRDefault="00B75DC8" w:rsidP="00B75DC8">
            <w:r w:rsidRPr="002B5A5E">
              <w:t>CTE WELD.8.1.4 Set up for OFC operations.</w:t>
            </w:r>
          </w:p>
        </w:tc>
        <w:tc>
          <w:tcPr>
            <w:tcW w:w="3187" w:type="pct"/>
          </w:tcPr>
          <w:p w:rsidR="00B75DC8" w:rsidRPr="003411D8" w:rsidRDefault="00B75DC8" w:rsidP="00B75DC8"/>
        </w:tc>
      </w:tr>
      <w:tr w:rsidR="00B75DC8" w:rsidTr="007440ED">
        <w:trPr>
          <w:trHeight w:val="602"/>
        </w:trPr>
        <w:tc>
          <w:tcPr>
            <w:tcW w:w="1813" w:type="pct"/>
            <w:noWrap/>
          </w:tcPr>
          <w:p w:rsidR="00B75DC8" w:rsidRPr="002B5A5E" w:rsidRDefault="00B75DC8" w:rsidP="00B75DC8">
            <w:r w:rsidRPr="002B5A5E">
              <w:t>CTE WELD.8.1.5 Operate OFC equipment.</w:t>
            </w:r>
          </w:p>
        </w:tc>
        <w:tc>
          <w:tcPr>
            <w:tcW w:w="3187" w:type="pct"/>
          </w:tcPr>
          <w:p w:rsidR="00B75DC8" w:rsidRPr="003411D8" w:rsidRDefault="00B75DC8" w:rsidP="00B75DC8"/>
        </w:tc>
      </w:tr>
      <w:tr w:rsidR="00B75DC8" w:rsidTr="007440ED">
        <w:trPr>
          <w:trHeight w:val="602"/>
        </w:trPr>
        <w:tc>
          <w:tcPr>
            <w:tcW w:w="1813" w:type="pct"/>
            <w:noWrap/>
          </w:tcPr>
          <w:p w:rsidR="00B75DC8" w:rsidRPr="002B5A5E" w:rsidRDefault="00B75DC8" w:rsidP="00B75DC8">
            <w:r w:rsidRPr="002B5A5E">
              <w:t>CTE WELD.8.1.6 Perform straight, square edge cutting operations in the flat position.</w:t>
            </w:r>
          </w:p>
        </w:tc>
        <w:tc>
          <w:tcPr>
            <w:tcW w:w="3187" w:type="pct"/>
          </w:tcPr>
          <w:p w:rsidR="00B75DC8" w:rsidRPr="003411D8" w:rsidRDefault="00B75DC8" w:rsidP="00B75DC8"/>
        </w:tc>
      </w:tr>
      <w:tr w:rsidR="00B75DC8" w:rsidTr="007440ED">
        <w:trPr>
          <w:trHeight w:val="602"/>
        </w:trPr>
        <w:tc>
          <w:tcPr>
            <w:tcW w:w="1813" w:type="pct"/>
            <w:noWrap/>
          </w:tcPr>
          <w:p w:rsidR="00B75DC8" w:rsidRPr="002B5A5E" w:rsidRDefault="00B75DC8" w:rsidP="00B75DC8">
            <w:r w:rsidRPr="002B5A5E">
              <w:t>CTE WELD.8.1.7 Perform shape, square edge cutting operations in the flat position.</w:t>
            </w:r>
          </w:p>
        </w:tc>
        <w:tc>
          <w:tcPr>
            <w:tcW w:w="3187" w:type="pct"/>
          </w:tcPr>
          <w:p w:rsidR="00B75DC8" w:rsidRPr="003411D8" w:rsidRDefault="00B75DC8" w:rsidP="00B75DC8"/>
        </w:tc>
      </w:tr>
      <w:tr w:rsidR="00B75DC8" w:rsidTr="007440ED">
        <w:trPr>
          <w:trHeight w:val="602"/>
        </w:trPr>
        <w:tc>
          <w:tcPr>
            <w:tcW w:w="1813" w:type="pct"/>
            <w:noWrap/>
          </w:tcPr>
          <w:p w:rsidR="00B75DC8" w:rsidRPr="002B5A5E" w:rsidRDefault="00B75DC8" w:rsidP="00B75DC8">
            <w:r w:rsidRPr="002B5A5E">
              <w:t>CTE WELD.8.1.8 Perform straight, bevel edge cutting operations in the flat position.</w:t>
            </w:r>
          </w:p>
        </w:tc>
        <w:tc>
          <w:tcPr>
            <w:tcW w:w="3187" w:type="pct"/>
          </w:tcPr>
          <w:p w:rsidR="00B75DC8" w:rsidRPr="003411D8" w:rsidRDefault="00B75DC8" w:rsidP="00B75DC8"/>
        </w:tc>
      </w:tr>
      <w:tr w:rsidR="00B75DC8" w:rsidTr="007440ED">
        <w:trPr>
          <w:trHeight w:val="602"/>
        </w:trPr>
        <w:tc>
          <w:tcPr>
            <w:tcW w:w="1813" w:type="pct"/>
            <w:noWrap/>
          </w:tcPr>
          <w:p w:rsidR="00B75DC8" w:rsidRDefault="00B75DC8" w:rsidP="00B75DC8">
            <w:r w:rsidRPr="002B5A5E">
              <w:t>CTE WELD.8.1.9 Perform scarfing and gouging operations to remove base and weld metal, in flat and horizontal positions.</w:t>
            </w:r>
          </w:p>
        </w:tc>
        <w:tc>
          <w:tcPr>
            <w:tcW w:w="3187" w:type="pct"/>
          </w:tcPr>
          <w:p w:rsidR="00B75DC8" w:rsidRPr="003411D8" w:rsidRDefault="00B75DC8" w:rsidP="00B75DC8"/>
        </w:tc>
      </w:tr>
    </w:tbl>
    <w:p w:rsidR="003411D8" w:rsidRPr="00895824" w:rsidRDefault="00B75DC8" w:rsidP="003411D8">
      <w:pPr>
        <w:pStyle w:val="Heading3"/>
        <w:rPr>
          <w:rStyle w:val="IntenseEmphasis"/>
          <w:b/>
          <w:color w:val="auto"/>
          <w:sz w:val="28"/>
          <w:szCs w:val="28"/>
        </w:rPr>
      </w:pPr>
      <w:r w:rsidRPr="00B75DC8">
        <w:rPr>
          <w:rFonts w:eastAsia="Times New Roman"/>
          <w:color w:val="auto"/>
        </w:rPr>
        <w:lastRenderedPageBreak/>
        <w:t>Performance Standard WELD.8.2 Demonstrate Plasma Arc Cutting (PAC) on Carbon Steel and Aluminum</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7440ED" w:rsidRDefault="003411D8" w:rsidP="003411D8">
            <w:pPr>
              <w:rPr>
                <w:rFonts w:eastAsia="Times New Roman"/>
              </w:rPr>
            </w:pPr>
            <w:r w:rsidRPr="007440ED">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7440ED" w:rsidRDefault="003411D8" w:rsidP="003411D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B75DC8" w:rsidTr="007440ED">
        <w:trPr>
          <w:trHeight w:val="602"/>
        </w:trPr>
        <w:tc>
          <w:tcPr>
            <w:tcW w:w="1813" w:type="pct"/>
            <w:tcBorders>
              <w:top w:val="single" w:sz="4" w:space="0" w:color="auto"/>
            </w:tcBorders>
            <w:noWrap/>
          </w:tcPr>
          <w:p w:rsidR="00B75DC8" w:rsidRPr="00EA4046" w:rsidRDefault="00B75DC8" w:rsidP="00B75DC8">
            <w:r w:rsidRPr="00EA4046">
              <w:t>CTE WELD.8.2.1 Explain the PAC process.</w:t>
            </w:r>
          </w:p>
        </w:tc>
        <w:tc>
          <w:tcPr>
            <w:tcW w:w="3187" w:type="pct"/>
            <w:tcBorders>
              <w:top w:val="single" w:sz="4" w:space="0" w:color="auto"/>
            </w:tcBorders>
          </w:tcPr>
          <w:p w:rsidR="00B75DC8" w:rsidRPr="003411D8" w:rsidRDefault="00B75DC8" w:rsidP="00B75DC8"/>
        </w:tc>
      </w:tr>
      <w:tr w:rsidR="00B75DC8" w:rsidTr="007440ED">
        <w:trPr>
          <w:trHeight w:val="602"/>
        </w:trPr>
        <w:tc>
          <w:tcPr>
            <w:tcW w:w="1813" w:type="pct"/>
            <w:noWrap/>
          </w:tcPr>
          <w:p w:rsidR="00B75DC8" w:rsidRPr="00EA4046" w:rsidRDefault="00B75DC8" w:rsidP="00B75DC8">
            <w:r w:rsidRPr="00EA4046">
              <w:t>CTE WELD.8.2.2 Determine the appropriate PAC settings for the various types of metals.</w:t>
            </w:r>
          </w:p>
        </w:tc>
        <w:tc>
          <w:tcPr>
            <w:tcW w:w="3187" w:type="pct"/>
          </w:tcPr>
          <w:p w:rsidR="00B75DC8" w:rsidRPr="003411D8" w:rsidRDefault="00B75DC8" w:rsidP="00B75DC8"/>
        </w:tc>
      </w:tr>
      <w:tr w:rsidR="00B75DC8" w:rsidTr="007440ED">
        <w:trPr>
          <w:trHeight w:val="602"/>
        </w:trPr>
        <w:tc>
          <w:tcPr>
            <w:tcW w:w="1813" w:type="pct"/>
            <w:noWrap/>
          </w:tcPr>
          <w:p w:rsidR="00B75DC8" w:rsidRPr="00EA4046" w:rsidRDefault="00B75DC8" w:rsidP="00B75DC8">
            <w:r w:rsidRPr="00EA4046">
              <w:t>CTE WELD.8.2.3 Perform safety inspections of PAC equipment and accessories.</w:t>
            </w:r>
          </w:p>
        </w:tc>
        <w:tc>
          <w:tcPr>
            <w:tcW w:w="3187" w:type="pct"/>
          </w:tcPr>
          <w:p w:rsidR="00B75DC8" w:rsidRPr="003411D8" w:rsidRDefault="00B75DC8" w:rsidP="00B75DC8"/>
        </w:tc>
      </w:tr>
      <w:tr w:rsidR="00B75DC8" w:rsidTr="007440ED">
        <w:trPr>
          <w:trHeight w:val="602"/>
        </w:trPr>
        <w:tc>
          <w:tcPr>
            <w:tcW w:w="1813" w:type="pct"/>
            <w:noWrap/>
          </w:tcPr>
          <w:p w:rsidR="00B75DC8" w:rsidRPr="00EA4046" w:rsidRDefault="00B75DC8" w:rsidP="00B75DC8">
            <w:r w:rsidRPr="00EA4046">
              <w:t>CTE WELD.8.2.4 Maintain PAC equipment and accessories.</w:t>
            </w:r>
          </w:p>
        </w:tc>
        <w:tc>
          <w:tcPr>
            <w:tcW w:w="3187" w:type="pct"/>
          </w:tcPr>
          <w:p w:rsidR="00B75DC8" w:rsidRPr="003411D8" w:rsidRDefault="00B75DC8" w:rsidP="00B75DC8"/>
        </w:tc>
      </w:tr>
      <w:tr w:rsidR="00B75DC8" w:rsidTr="007440ED">
        <w:trPr>
          <w:trHeight w:val="602"/>
        </w:trPr>
        <w:tc>
          <w:tcPr>
            <w:tcW w:w="1813" w:type="pct"/>
            <w:noWrap/>
          </w:tcPr>
          <w:p w:rsidR="00B75DC8" w:rsidRPr="00EA4046" w:rsidRDefault="00B75DC8" w:rsidP="00B75DC8">
            <w:r w:rsidRPr="00EA4046">
              <w:t>CTE WELD.8.2.5 Set up for PAC operations.</w:t>
            </w:r>
          </w:p>
        </w:tc>
        <w:tc>
          <w:tcPr>
            <w:tcW w:w="3187" w:type="pct"/>
          </w:tcPr>
          <w:p w:rsidR="00B75DC8" w:rsidRPr="003411D8" w:rsidRDefault="00B75DC8" w:rsidP="00B75DC8"/>
        </w:tc>
      </w:tr>
      <w:tr w:rsidR="00B75DC8" w:rsidTr="007440ED">
        <w:trPr>
          <w:trHeight w:val="602"/>
        </w:trPr>
        <w:tc>
          <w:tcPr>
            <w:tcW w:w="1813" w:type="pct"/>
            <w:noWrap/>
          </w:tcPr>
          <w:p w:rsidR="00B75DC8" w:rsidRPr="00EA4046" w:rsidRDefault="00B75DC8" w:rsidP="00B75DC8">
            <w:r w:rsidRPr="00EA4046">
              <w:t>CTE WELD.8.2.6 Operate PAC equipment.</w:t>
            </w:r>
          </w:p>
        </w:tc>
        <w:tc>
          <w:tcPr>
            <w:tcW w:w="3187" w:type="pct"/>
          </w:tcPr>
          <w:p w:rsidR="00B75DC8" w:rsidRPr="003411D8" w:rsidRDefault="00B75DC8" w:rsidP="00B75DC8"/>
        </w:tc>
      </w:tr>
      <w:tr w:rsidR="00B75DC8" w:rsidTr="007440ED">
        <w:trPr>
          <w:trHeight w:val="602"/>
        </w:trPr>
        <w:tc>
          <w:tcPr>
            <w:tcW w:w="1813" w:type="pct"/>
            <w:noWrap/>
          </w:tcPr>
          <w:p w:rsidR="00B75DC8" w:rsidRPr="00EA4046" w:rsidRDefault="00B75DC8" w:rsidP="00B75DC8">
            <w:r w:rsidRPr="00EA4046">
              <w:t>CTE WELD.8.2.7 Perform straight, square edge cutting operations in the flat position.</w:t>
            </w:r>
          </w:p>
        </w:tc>
        <w:tc>
          <w:tcPr>
            <w:tcW w:w="3187" w:type="pct"/>
          </w:tcPr>
          <w:p w:rsidR="00B75DC8" w:rsidRPr="003411D8" w:rsidRDefault="00B75DC8" w:rsidP="00B75DC8"/>
        </w:tc>
      </w:tr>
      <w:tr w:rsidR="00B75DC8" w:rsidTr="007440ED">
        <w:trPr>
          <w:trHeight w:val="602"/>
        </w:trPr>
        <w:tc>
          <w:tcPr>
            <w:tcW w:w="1813" w:type="pct"/>
            <w:noWrap/>
          </w:tcPr>
          <w:p w:rsidR="00B75DC8" w:rsidRDefault="00B75DC8" w:rsidP="00B75DC8">
            <w:r w:rsidRPr="00EA4046">
              <w:t>CTE WELD.8.2.8 Perform shape, square edge cutting operations in the flat position.</w:t>
            </w:r>
          </w:p>
        </w:tc>
        <w:tc>
          <w:tcPr>
            <w:tcW w:w="3187" w:type="pct"/>
          </w:tcPr>
          <w:p w:rsidR="00B75DC8" w:rsidRPr="003411D8" w:rsidRDefault="00B75DC8" w:rsidP="00B75DC8"/>
        </w:tc>
      </w:tr>
    </w:tbl>
    <w:p w:rsidR="00B75DC8" w:rsidRPr="00895824" w:rsidRDefault="00B75DC8" w:rsidP="00B75DC8">
      <w:pPr>
        <w:pStyle w:val="Heading3"/>
        <w:rPr>
          <w:rStyle w:val="IntenseEmphasis"/>
          <w:b/>
          <w:color w:val="auto"/>
          <w:sz w:val="28"/>
          <w:szCs w:val="28"/>
        </w:rPr>
      </w:pPr>
      <w:r w:rsidRPr="00B75DC8">
        <w:rPr>
          <w:rFonts w:eastAsia="Times New Roman"/>
          <w:color w:val="auto"/>
        </w:rPr>
        <w:t>Performance Standard WELD.8.3 Demonstrate Manual Air Carbon Arc Cutting (CAC-A)</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B75DC8"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B75DC8" w:rsidRPr="007440ED" w:rsidRDefault="00B75DC8" w:rsidP="003439E8">
            <w:pPr>
              <w:rPr>
                <w:rFonts w:eastAsia="Times New Roman"/>
              </w:rPr>
            </w:pPr>
            <w:r w:rsidRPr="007440ED">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B75DC8" w:rsidRPr="007440ED" w:rsidRDefault="00B75DC8" w:rsidP="003439E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B75DC8" w:rsidTr="007440ED">
        <w:trPr>
          <w:trHeight w:val="602"/>
        </w:trPr>
        <w:tc>
          <w:tcPr>
            <w:tcW w:w="1813" w:type="pct"/>
            <w:tcBorders>
              <w:top w:val="single" w:sz="4" w:space="0" w:color="auto"/>
            </w:tcBorders>
            <w:noWrap/>
          </w:tcPr>
          <w:p w:rsidR="00B75DC8" w:rsidRPr="0039515C" w:rsidRDefault="00B75DC8" w:rsidP="00B75DC8">
            <w:r w:rsidRPr="0039515C">
              <w:t>CTE AWT 8.3.1 Performs safety inspections of manual CAC-A equipment and accessories.</w:t>
            </w:r>
          </w:p>
        </w:tc>
        <w:tc>
          <w:tcPr>
            <w:tcW w:w="3187" w:type="pct"/>
            <w:tcBorders>
              <w:top w:val="single" w:sz="4" w:space="0" w:color="auto"/>
            </w:tcBorders>
          </w:tcPr>
          <w:p w:rsidR="00B75DC8" w:rsidRPr="003411D8" w:rsidRDefault="00B75DC8" w:rsidP="00B75DC8"/>
        </w:tc>
      </w:tr>
      <w:tr w:rsidR="00B75DC8" w:rsidTr="007440ED">
        <w:trPr>
          <w:trHeight w:val="602"/>
        </w:trPr>
        <w:tc>
          <w:tcPr>
            <w:tcW w:w="1813" w:type="pct"/>
            <w:noWrap/>
          </w:tcPr>
          <w:p w:rsidR="00B75DC8" w:rsidRPr="0039515C" w:rsidRDefault="00B75DC8" w:rsidP="00B75DC8">
            <w:r w:rsidRPr="0039515C">
              <w:lastRenderedPageBreak/>
              <w:t>CTE AWT 8.3.2 Maintain CAC-A equipment and accessories.</w:t>
            </w:r>
          </w:p>
        </w:tc>
        <w:tc>
          <w:tcPr>
            <w:tcW w:w="3187" w:type="pct"/>
          </w:tcPr>
          <w:p w:rsidR="00B75DC8" w:rsidRPr="003411D8" w:rsidRDefault="00B75DC8" w:rsidP="00B75DC8"/>
        </w:tc>
      </w:tr>
      <w:tr w:rsidR="00B75DC8" w:rsidTr="007440ED">
        <w:trPr>
          <w:trHeight w:val="602"/>
        </w:trPr>
        <w:tc>
          <w:tcPr>
            <w:tcW w:w="1813" w:type="pct"/>
            <w:noWrap/>
          </w:tcPr>
          <w:p w:rsidR="00B75DC8" w:rsidRPr="0039515C" w:rsidRDefault="00B75DC8" w:rsidP="00B75DC8">
            <w:r w:rsidRPr="0039515C">
              <w:t>CTE AWT 8.3.3 Set up manual CAC-A scarfing and gouging operation on carbon steel.</w:t>
            </w:r>
          </w:p>
        </w:tc>
        <w:tc>
          <w:tcPr>
            <w:tcW w:w="3187" w:type="pct"/>
          </w:tcPr>
          <w:p w:rsidR="00B75DC8" w:rsidRPr="003411D8" w:rsidRDefault="00B75DC8" w:rsidP="00B75DC8"/>
        </w:tc>
      </w:tr>
      <w:tr w:rsidR="00B75DC8" w:rsidTr="007440ED">
        <w:trPr>
          <w:trHeight w:val="602"/>
        </w:trPr>
        <w:tc>
          <w:tcPr>
            <w:tcW w:w="1813" w:type="pct"/>
            <w:noWrap/>
          </w:tcPr>
          <w:p w:rsidR="00B75DC8" w:rsidRPr="0039515C" w:rsidRDefault="00B75DC8" w:rsidP="00B75DC8">
            <w:r w:rsidRPr="0039515C">
              <w:t>CTE AWT 8.3.4 Operate manual CAC-A equipment on carbon steel.</w:t>
            </w:r>
          </w:p>
        </w:tc>
        <w:tc>
          <w:tcPr>
            <w:tcW w:w="3187" w:type="pct"/>
          </w:tcPr>
          <w:p w:rsidR="00B75DC8" w:rsidRPr="003411D8" w:rsidRDefault="00B75DC8" w:rsidP="00B75DC8"/>
        </w:tc>
      </w:tr>
      <w:tr w:rsidR="00B75DC8" w:rsidTr="007440ED">
        <w:trPr>
          <w:trHeight w:val="602"/>
        </w:trPr>
        <w:tc>
          <w:tcPr>
            <w:tcW w:w="1813" w:type="pct"/>
            <w:noWrap/>
          </w:tcPr>
          <w:p w:rsidR="00B75DC8" w:rsidRDefault="00B75DC8" w:rsidP="00B75DC8">
            <w:r w:rsidRPr="0039515C">
              <w:t>CTE WELD.8.3.5 Perform scarfing and gouging operations to remove base and weld metal in the flat and horizontal positions on carbon steel.</w:t>
            </w:r>
          </w:p>
        </w:tc>
        <w:tc>
          <w:tcPr>
            <w:tcW w:w="3187" w:type="pct"/>
          </w:tcPr>
          <w:p w:rsidR="00B75DC8" w:rsidRPr="003411D8" w:rsidRDefault="00B75DC8" w:rsidP="00B75DC8"/>
        </w:tc>
      </w:tr>
    </w:tbl>
    <w:p w:rsidR="003411D8" w:rsidRDefault="003411D8" w:rsidP="003411D8">
      <w:pPr>
        <w:pStyle w:val="Heading3"/>
        <w:rPr>
          <w:rStyle w:val="IntenseEmphasis"/>
          <w:rFonts w:eastAsiaTheme="minorHAnsi" w:cstheme="minorBidi"/>
          <w:b/>
          <w:color w:val="417FD0" w:themeColor="text2" w:themeTint="99"/>
          <w:sz w:val="28"/>
          <w:szCs w:val="28"/>
        </w:rPr>
      </w:pPr>
    </w:p>
    <w:p w:rsidR="003411D8" w:rsidRDefault="00474E9A" w:rsidP="003411D8">
      <w:pPr>
        <w:pStyle w:val="Heading3"/>
        <w:rPr>
          <w:rStyle w:val="IntenseEmphasis"/>
          <w:rFonts w:eastAsiaTheme="minorHAnsi" w:cstheme="minorBidi"/>
          <w:b/>
          <w:color w:val="417FD0" w:themeColor="text2" w:themeTint="99"/>
          <w:sz w:val="28"/>
          <w:szCs w:val="28"/>
        </w:rPr>
      </w:pPr>
      <w:r w:rsidRPr="00474E9A">
        <w:rPr>
          <w:rStyle w:val="IntenseEmphasis"/>
          <w:rFonts w:eastAsiaTheme="minorHAnsi" w:cstheme="minorBidi"/>
          <w:b/>
          <w:color w:val="417FD0" w:themeColor="text2" w:themeTint="99"/>
          <w:sz w:val="28"/>
          <w:szCs w:val="28"/>
        </w:rPr>
        <w:t>Standard WELD.9.0: Identify Welding Codes, Inspections, and Testing Principles</w:t>
      </w:r>
    </w:p>
    <w:p w:rsidR="003411D8" w:rsidRPr="00895824" w:rsidRDefault="00474E9A" w:rsidP="003411D8">
      <w:pPr>
        <w:pStyle w:val="Heading3"/>
        <w:rPr>
          <w:rStyle w:val="IntenseEmphasis"/>
          <w:b/>
          <w:color w:val="auto"/>
          <w:sz w:val="28"/>
          <w:szCs w:val="28"/>
        </w:rPr>
      </w:pPr>
      <w:r w:rsidRPr="00474E9A">
        <w:rPr>
          <w:rFonts w:eastAsia="Times New Roman"/>
          <w:color w:val="auto"/>
        </w:rPr>
        <w:t>Performance Standard WELD.9.1 Identify Welding Codes, Qualifications, and Certifications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7440ED" w:rsidRDefault="003411D8" w:rsidP="003411D8">
            <w:pPr>
              <w:rPr>
                <w:rFonts w:eastAsia="Times New Roman"/>
              </w:rPr>
            </w:pPr>
            <w:r w:rsidRPr="007440ED">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7440ED" w:rsidRDefault="003411D8" w:rsidP="003411D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474E9A" w:rsidTr="007440ED">
        <w:trPr>
          <w:trHeight w:val="602"/>
        </w:trPr>
        <w:tc>
          <w:tcPr>
            <w:tcW w:w="1813" w:type="pct"/>
            <w:tcBorders>
              <w:top w:val="single" w:sz="4" w:space="0" w:color="auto"/>
            </w:tcBorders>
            <w:noWrap/>
          </w:tcPr>
          <w:p w:rsidR="00474E9A" w:rsidRPr="009C7909" w:rsidRDefault="00474E9A" w:rsidP="00474E9A">
            <w:r w:rsidRPr="009C7909">
              <w:t>CTE WELD.9.1.1 Identify and explain weld imperfections and their causes.</w:t>
            </w:r>
          </w:p>
        </w:tc>
        <w:tc>
          <w:tcPr>
            <w:tcW w:w="3187" w:type="pct"/>
            <w:tcBorders>
              <w:top w:val="single" w:sz="4" w:space="0" w:color="auto"/>
            </w:tcBorders>
          </w:tcPr>
          <w:p w:rsidR="00474E9A" w:rsidRPr="003411D8" w:rsidRDefault="00474E9A" w:rsidP="00474E9A"/>
        </w:tc>
      </w:tr>
      <w:tr w:rsidR="00474E9A" w:rsidTr="007440ED">
        <w:trPr>
          <w:trHeight w:val="602"/>
        </w:trPr>
        <w:tc>
          <w:tcPr>
            <w:tcW w:w="1813" w:type="pct"/>
            <w:noWrap/>
          </w:tcPr>
          <w:p w:rsidR="00474E9A" w:rsidRPr="009C7909" w:rsidRDefault="00474E9A" w:rsidP="00474E9A">
            <w:r w:rsidRPr="009C7909">
              <w:t>CTE WELD.9.1.2 Identify and explain welder qualification tests.</w:t>
            </w:r>
          </w:p>
        </w:tc>
        <w:tc>
          <w:tcPr>
            <w:tcW w:w="3187" w:type="pct"/>
          </w:tcPr>
          <w:p w:rsidR="00474E9A" w:rsidRPr="003411D8" w:rsidRDefault="00474E9A" w:rsidP="00474E9A"/>
        </w:tc>
      </w:tr>
      <w:tr w:rsidR="00474E9A" w:rsidTr="007440ED">
        <w:trPr>
          <w:trHeight w:val="602"/>
        </w:trPr>
        <w:tc>
          <w:tcPr>
            <w:tcW w:w="1813" w:type="pct"/>
            <w:noWrap/>
          </w:tcPr>
          <w:p w:rsidR="00474E9A" w:rsidRPr="009C7909" w:rsidRDefault="00474E9A" w:rsidP="00474E9A">
            <w:r w:rsidRPr="009C7909">
              <w:t>CTE WELD.9.1.3 Explain the importance of quality workmanship.</w:t>
            </w:r>
          </w:p>
        </w:tc>
        <w:tc>
          <w:tcPr>
            <w:tcW w:w="3187" w:type="pct"/>
          </w:tcPr>
          <w:p w:rsidR="00474E9A" w:rsidRPr="003411D8" w:rsidRDefault="00474E9A" w:rsidP="00474E9A"/>
        </w:tc>
      </w:tr>
      <w:tr w:rsidR="00474E9A" w:rsidTr="007440ED">
        <w:trPr>
          <w:trHeight w:val="602"/>
        </w:trPr>
        <w:tc>
          <w:tcPr>
            <w:tcW w:w="1813" w:type="pct"/>
            <w:noWrap/>
          </w:tcPr>
          <w:p w:rsidR="00474E9A" w:rsidRPr="009C7909" w:rsidRDefault="00474E9A" w:rsidP="00474E9A">
            <w:r w:rsidRPr="009C7909">
              <w:t>CTE WELD.9.1.4 Identify common destructive testing methods.</w:t>
            </w:r>
          </w:p>
        </w:tc>
        <w:tc>
          <w:tcPr>
            <w:tcW w:w="3187" w:type="pct"/>
          </w:tcPr>
          <w:p w:rsidR="00474E9A" w:rsidRPr="003411D8" w:rsidRDefault="00474E9A" w:rsidP="00474E9A"/>
        </w:tc>
      </w:tr>
      <w:tr w:rsidR="00474E9A" w:rsidTr="007440ED">
        <w:trPr>
          <w:trHeight w:val="602"/>
        </w:trPr>
        <w:tc>
          <w:tcPr>
            <w:tcW w:w="1813" w:type="pct"/>
            <w:noWrap/>
          </w:tcPr>
          <w:p w:rsidR="00474E9A" w:rsidRDefault="00474E9A" w:rsidP="00474E9A">
            <w:r w:rsidRPr="009C7909">
              <w:lastRenderedPageBreak/>
              <w:t>CTE WELD.9.1.5 Perform a visual inspection of fillet welds.</w:t>
            </w:r>
          </w:p>
        </w:tc>
        <w:tc>
          <w:tcPr>
            <w:tcW w:w="3187" w:type="pct"/>
          </w:tcPr>
          <w:p w:rsidR="00474E9A" w:rsidRPr="003411D8" w:rsidRDefault="00474E9A" w:rsidP="00474E9A"/>
        </w:tc>
      </w:tr>
    </w:tbl>
    <w:p w:rsidR="00474E9A" w:rsidRPr="00895824" w:rsidRDefault="00474E9A" w:rsidP="00474E9A">
      <w:pPr>
        <w:pStyle w:val="Heading3"/>
        <w:rPr>
          <w:rStyle w:val="IntenseEmphasis"/>
          <w:b/>
          <w:color w:val="auto"/>
          <w:sz w:val="28"/>
          <w:szCs w:val="28"/>
        </w:rPr>
      </w:pPr>
      <w:r w:rsidRPr="00474E9A">
        <w:rPr>
          <w:rFonts w:eastAsia="Times New Roman"/>
          <w:color w:val="auto"/>
        </w:rPr>
        <w:t>Performance Standard WELD.9.2 Demonstrate Welding Inspection and Testing Principles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474E9A"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474E9A" w:rsidRPr="007440ED" w:rsidRDefault="00474E9A" w:rsidP="003439E8">
            <w:pPr>
              <w:rPr>
                <w:rFonts w:eastAsia="Times New Roman"/>
              </w:rPr>
            </w:pPr>
            <w:r w:rsidRPr="007440ED">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474E9A" w:rsidRPr="007440ED" w:rsidRDefault="00474E9A" w:rsidP="003439E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474E9A" w:rsidTr="007440ED">
        <w:trPr>
          <w:trHeight w:val="602"/>
        </w:trPr>
        <w:tc>
          <w:tcPr>
            <w:tcW w:w="1813" w:type="pct"/>
            <w:tcBorders>
              <w:top w:val="single" w:sz="4" w:space="0" w:color="auto"/>
            </w:tcBorders>
            <w:noWrap/>
          </w:tcPr>
          <w:p w:rsidR="00474E9A" w:rsidRPr="00753A3C" w:rsidRDefault="00474E9A" w:rsidP="00474E9A">
            <w:r w:rsidRPr="00753A3C">
              <w:t>CTE WELD.9.2.1 Define the role of welding inspection/inspector and testing in industry.</w:t>
            </w:r>
          </w:p>
        </w:tc>
        <w:tc>
          <w:tcPr>
            <w:tcW w:w="3187" w:type="pct"/>
            <w:tcBorders>
              <w:top w:val="single" w:sz="4" w:space="0" w:color="auto"/>
            </w:tcBorders>
          </w:tcPr>
          <w:p w:rsidR="00474E9A" w:rsidRPr="003411D8" w:rsidRDefault="00474E9A" w:rsidP="00474E9A"/>
        </w:tc>
      </w:tr>
      <w:tr w:rsidR="00474E9A" w:rsidTr="007440ED">
        <w:trPr>
          <w:trHeight w:val="602"/>
        </w:trPr>
        <w:tc>
          <w:tcPr>
            <w:tcW w:w="1813" w:type="pct"/>
            <w:noWrap/>
          </w:tcPr>
          <w:p w:rsidR="00474E9A" w:rsidRPr="00753A3C" w:rsidRDefault="00474E9A" w:rsidP="00474E9A">
            <w:r w:rsidRPr="00753A3C">
              <w:t>CTE WELD.9.2.2 Examine cut surfaces and edges of prepared base metal parts.</w:t>
            </w:r>
          </w:p>
        </w:tc>
        <w:tc>
          <w:tcPr>
            <w:tcW w:w="3187" w:type="pct"/>
          </w:tcPr>
          <w:p w:rsidR="00474E9A" w:rsidRPr="003411D8" w:rsidRDefault="00474E9A" w:rsidP="00474E9A"/>
        </w:tc>
      </w:tr>
      <w:tr w:rsidR="00474E9A" w:rsidTr="007440ED">
        <w:trPr>
          <w:trHeight w:val="602"/>
        </w:trPr>
        <w:tc>
          <w:tcPr>
            <w:tcW w:w="1813" w:type="pct"/>
            <w:noWrap/>
          </w:tcPr>
          <w:p w:rsidR="00474E9A" w:rsidRDefault="00474E9A" w:rsidP="00474E9A">
            <w:r w:rsidRPr="00753A3C">
              <w:t>CTE WELD.9.2.3 Examine tack, root passes, intermediate layers, and completed welds.</w:t>
            </w:r>
          </w:p>
        </w:tc>
        <w:tc>
          <w:tcPr>
            <w:tcW w:w="3187" w:type="pct"/>
          </w:tcPr>
          <w:p w:rsidR="00474E9A" w:rsidRPr="003411D8" w:rsidRDefault="00474E9A" w:rsidP="00474E9A"/>
        </w:tc>
      </w:tr>
    </w:tbl>
    <w:p w:rsidR="00FE7526" w:rsidRDefault="00FE7526" w:rsidP="00FE7526">
      <w:pPr>
        <w:rPr>
          <w:rStyle w:val="IntenseEmphasis"/>
          <w:b w:val="0"/>
          <w:color w:val="417FD0" w:themeColor="text2" w:themeTint="99"/>
          <w:sz w:val="28"/>
          <w:szCs w:val="28"/>
        </w:rPr>
      </w:pPr>
    </w:p>
    <w:p w:rsidR="0009565A" w:rsidRDefault="00474E9A" w:rsidP="003411D8">
      <w:pPr>
        <w:pStyle w:val="Heading3"/>
        <w:rPr>
          <w:rStyle w:val="IntenseEmphasis"/>
          <w:rFonts w:eastAsiaTheme="minorHAnsi" w:cstheme="minorBidi"/>
          <w:b/>
          <w:color w:val="417FD0" w:themeColor="text2" w:themeTint="99"/>
          <w:sz w:val="28"/>
          <w:szCs w:val="28"/>
        </w:rPr>
      </w:pPr>
      <w:r w:rsidRPr="00474E9A">
        <w:rPr>
          <w:rStyle w:val="IntenseEmphasis"/>
          <w:rFonts w:eastAsiaTheme="minorHAnsi" w:cstheme="minorBidi"/>
          <w:b/>
          <w:color w:val="417FD0" w:themeColor="text2" w:themeTint="99"/>
          <w:sz w:val="28"/>
          <w:szCs w:val="28"/>
        </w:rPr>
        <w:t>Standard WELD.10.0: Apply Fabrication Fundamentals</w:t>
      </w:r>
    </w:p>
    <w:p w:rsidR="003411D8" w:rsidRPr="00895824" w:rsidRDefault="00474E9A" w:rsidP="003411D8">
      <w:pPr>
        <w:pStyle w:val="Heading3"/>
        <w:rPr>
          <w:rStyle w:val="IntenseEmphasis"/>
          <w:b/>
          <w:color w:val="auto"/>
          <w:sz w:val="28"/>
          <w:szCs w:val="28"/>
        </w:rPr>
      </w:pPr>
      <w:r w:rsidRPr="00474E9A">
        <w:rPr>
          <w:rFonts w:eastAsia="Times New Roman"/>
          <w:color w:val="auto"/>
        </w:rPr>
        <w:t>Performance Standard WELD.10.1 Utilize Base Metal Preparation Fundamentals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3411D8" w:rsidRPr="007440ED"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3411D8" w:rsidRPr="007440ED" w:rsidRDefault="003411D8" w:rsidP="003411D8">
            <w:pPr>
              <w:rPr>
                <w:rFonts w:eastAsia="Times New Roman"/>
              </w:rPr>
            </w:pPr>
            <w:r w:rsidRPr="007440ED">
              <w:rPr>
                <w:rFonts w:eastAsia="Times New Roman"/>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3411D8" w:rsidRPr="007440ED" w:rsidRDefault="003411D8" w:rsidP="003411D8">
            <w:pPr>
              <w:rPr>
                <w:rFonts w:eastAsia="Times New Roman"/>
              </w:rPr>
            </w:pPr>
            <w:r w:rsidRPr="007440ED">
              <w:rPr>
                <w:rFonts w:eastAsia="Times New Roman"/>
              </w:rPr>
              <w:t xml:space="preserve">Justification: Provide examples from materials as evidence to support each response for this section. Provide </w:t>
            </w:r>
            <w:r w:rsidR="003439E8" w:rsidRPr="007440ED">
              <w:rPr>
                <w:rFonts w:eastAsia="Times New Roman"/>
              </w:rPr>
              <w:t>descriptions</w:t>
            </w:r>
            <w:r w:rsidRPr="007440ED">
              <w:rPr>
                <w:rFonts w:eastAsia="Times New Roman"/>
              </w:rPr>
              <w:t>, not just page numbers.</w:t>
            </w:r>
          </w:p>
        </w:tc>
      </w:tr>
      <w:tr w:rsidR="00474E9A" w:rsidTr="007440ED">
        <w:trPr>
          <w:trHeight w:val="602"/>
        </w:trPr>
        <w:tc>
          <w:tcPr>
            <w:tcW w:w="1813" w:type="pct"/>
            <w:tcBorders>
              <w:top w:val="single" w:sz="4" w:space="0" w:color="auto"/>
            </w:tcBorders>
            <w:noWrap/>
          </w:tcPr>
          <w:p w:rsidR="00474E9A" w:rsidRPr="00B97B85" w:rsidRDefault="00474E9A" w:rsidP="00474E9A">
            <w:r w:rsidRPr="00B97B85">
              <w:t>CTE WELD.10.1.1 Clean base metal for welding or cutting.</w:t>
            </w:r>
          </w:p>
        </w:tc>
        <w:tc>
          <w:tcPr>
            <w:tcW w:w="3187" w:type="pct"/>
            <w:tcBorders>
              <w:top w:val="single" w:sz="4" w:space="0" w:color="auto"/>
            </w:tcBorders>
          </w:tcPr>
          <w:p w:rsidR="00474E9A" w:rsidRPr="003411D8" w:rsidRDefault="00474E9A" w:rsidP="00474E9A"/>
        </w:tc>
      </w:tr>
      <w:tr w:rsidR="00474E9A" w:rsidTr="007440ED">
        <w:trPr>
          <w:trHeight w:val="602"/>
        </w:trPr>
        <w:tc>
          <w:tcPr>
            <w:tcW w:w="1813" w:type="pct"/>
            <w:noWrap/>
          </w:tcPr>
          <w:p w:rsidR="00474E9A" w:rsidRPr="00B97B85" w:rsidRDefault="00474E9A" w:rsidP="00474E9A">
            <w:r w:rsidRPr="00B97B85">
              <w:t>CTE WELD.10.1.2 Identify and explain joint design.</w:t>
            </w:r>
          </w:p>
        </w:tc>
        <w:tc>
          <w:tcPr>
            <w:tcW w:w="3187" w:type="pct"/>
          </w:tcPr>
          <w:p w:rsidR="00474E9A" w:rsidRPr="003411D8" w:rsidRDefault="00474E9A" w:rsidP="00474E9A"/>
        </w:tc>
      </w:tr>
      <w:tr w:rsidR="00474E9A" w:rsidTr="007440ED">
        <w:trPr>
          <w:trHeight w:val="602"/>
        </w:trPr>
        <w:tc>
          <w:tcPr>
            <w:tcW w:w="1813" w:type="pct"/>
            <w:noWrap/>
          </w:tcPr>
          <w:p w:rsidR="00474E9A" w:rsidRPr="00B97B85" w:rsidRDefault="00474E9A" w:rsidP="00474E9A">
            <w:r w:rsidRPr="00B97B85">
              <w:t>CTE WELD.10.1.3 Select the proper joint design based on a welding procedure specification (WPS) or instructor’s direction.</w:t>
            </w:r>
          </w:p>
        </w:tc>
        <w:tc>
          <w:tcPr>
            <w:tcW w:w="3187" w:type="pct"/>
          </w:tcPr>
          <w:p w:rsidR="00474E9A" w:rsidRPr="003411D8" w:rsidRDefault="00474E9A" w:rsidP="00474E9A"/>
        </w:tc>
      </w:tr>
      <w:tr w:rsidR="00474E9A" w:rsidTr="007440ED">
        <w:trPr>
          <w:trHeight w:val="602"/>
        </w:trPr>
        <w:tc>
          <w:tcPr>
            <w:tcW w:w="1813" w:type="pct"/>
            <w:noWrap/>
          </w:tcPr>
          <w:p w:rsidR="00474E9A" w:rsidRPr="00B97B85" w:rsidRDefault="00474E9A" w:rsidP="00474E9A">
            <w:r w:rsidRPr="00B97B85">
              <w:t xml:space="preserve">CTE WELD.10.1.4 Mechanically bevel the edge of a mild steel </w:t>
            </w:r>
            <w:r w:rsidRPr="00B97B85">
              <w:lastRenderedPageBreak/>
              <w:t>plate (i.e., hand beveller, grinder).</w:t>
            </w:r>
          </w:p>
        </w:tc>
        <w:tc>
          <w:tcPr>
            <w:tcW w:w="3187" w:type="pct"/>
          </w:tcPr>
          <w:p w:rsidR="00474E9A" w:rsidRPr="003411D8" w:rsidRDefault="00474E9A" w:rsidP="00474E9A"/>
        </w:tc>
      </w:tr>
      <w:tr w:rsidR="00474E9A" w:rsidTr="007440ED">
        <w:trPr>
          <w:trHeight w:val="602"/>
        </w:trPr>
        <w:tc>
          <w:tcPr>
            <w:tcW w:w="1813" w:type="pct"/>
            <w:noWrap/>
          </w:tcPr>
          <w:p w:rsidR="00474E9A" w:rsidRDefault="00474E9A" w:rsidP="00474E9A">
            <w:r w:rsidRPr="00B97B85">
              <w:t>CTE WELD.10.1.5 Thermally bevel the end of a mild steel plate.</w:t>
            </w:r>
          </w:p>
        </w:tc>
        <w:tc>
          <w:tcPr>
            <w:tcW w:w="3187" w:type="pct"/>
          </w:tcPr>
          <w:p w:rsidR="00474E9A" w:rsidRPr="003411D8" w:rsidRDefault="00474E9A" w:rsidP="00474E9A"/>
        </w:tc>
      </w:tr>
    </w:tbl>
    <w:p w:rsidR="0009565A" w:rsidRPr="00895824" w:rsidRDefault="00474E9A" w:rsidP="0009565A">
      <w:pPr>
        <w:pStyle w:val="Heading3"/>
        <w:rPr>
          <w:rStyle w:val="IntenseEmphasis"/>
          <w:b/>
          <w:color w:val="auto"/>
          <w:sz w:val="28"/>
          <w:szCs w:val="28"/>
        </w:rPr>
      </w:pPr>
      <w:r w:rsidRPr="00474E9A">
        <w:rPr>
          <w:rFonts w:eastAsia="Times New Roman"/>
          <w:color w:val="auto"/>
        </w:rPr>
        <w:t>Performance Standard WELD.10.2 Demonstrate Fabrication Techniques</w:t>
      </w:r>
    </w:p>
    <w:tbl>
      <w:tblPr>
        <w:tblStyle w:val="ProposalTable"/>
        <w:tblW w:w="4976" w:type="pct"/>
        <w:tblBorders>
          <w:top w:val="single" w:sz="4" w:space="0" w:color="2B63AC" w:themeColor="background2" w:themeShade="80"/>
          <w:left w:val="single" w:sz="4" w:space="0" w:color="2B63AC" w:themeColor="background2" w:themeShade="80"/>
          <w:bottom w:val="single" w:sz="4" w:space="0" w:color="2B63AC" w:themeColor="background2" w:themeShade="80"/>
          <w:right w:val="single" w:sz="4" w:space="0" w:color="2B63AC" w:themeColor="background2" w:themeShade="80"/>
          <w:insideH w:val="single" w:sz="4" w:space="0" w:color="2B63AC" w:themeColor="background2" w:themeShade="80"/>
          <w:insideV w:val="single" w:sz="4" w:space="0" w:color="2B63AC" w:themeColor="background2" w:themeShade="80"/>
        </w:tblBorders>
        <w:tblLayout w:type="fixed"/>
        <w:tblLook w:val="04A0" w:firstRow="1" w:lastRow="0" w:firstColumn="1" w:lastColumn="0" w:noHBand="0" w:noVBand="1"/>
        <w:tblCaption w:val="Performance Standard AMNF 8.1 table"/>
      </w:tblPr>
      <w:tblGrid>
        <w:gridCol w:w="3374"/>
        <w:gridCol w:w="5931"/>
      </w:tblGrid>
      <w:tr w:rsidR="0009565A" w:rsidRPr="001C565E" w:rsidTr="007440ED">
        <w:trPr>
          <w:cnfStyle w:val="100000000000" w:firstRow="1" w:lastRow="0" w:firstColumn="0" w:lastColumn="0" w:oddVBand="0" w:evenVBand="0" w:oddHBand="0" w:evenHBand="0" w:firstRowFirstColumn="0" w:firstRowLastColumn="0" w:lastRowFirstColumn="0" w:lastRowLastColumn="0"/>
          <w:trHeight w:val="312"/>
        </w:trPr>
        <w:tc>
          <w:tcPr>
            <w:tcW w:w="1813" w:type="pct"/>
            <w:tcBorders>
              <w:top w:val="single" w:sz="4" w:space="0" w:color="auto"/>
              <w:left w:val="single" w:sz="4" w:space="0" w:color="auto"/>
              <w:bottom w:val="single" w:sz="4" w:space="0" w:color="auto"/>
              <w:right w:val="single" w:sz="4" w:space="0" w:color="auto"/>
            </w:tcBorders>
            <w:shd w:val="clear" w:color="auto" w:fill="BFD4EF" w:themeFill="text2" w:themeFillTint="33"/>
            <w:noWrap/>
          </w:tcPr>
          <w:p w:rsidR="0009565A" w:rsidRPr="001C565E" w:rsidRDefault="0009565A" w:rsidP="00AC0E97">
            <w:pPr>
              <w:rPr>
                <w:rFonts w:eastAsia="Times New Roman"/>
                <w:b w:val="0"/>
              </w:rPr>
            </w:pPr>
            <w:r>
              <w:rPr>
                <w:rFonts w:eastAsia="Times New Roman"/>
                <w:b w:val="0"/>
              </w:rPr>
              <w:t>Student Competencies by Performance Standard</w:t>
            </w:r>
          </w:p>
        </w:tc>
        <w:tc>
          <w:tcPr>
            <w:tcW w:w="3187" w:type="pct"/>
            <w:tcBorders>
              <w:top w:val="single" w:sz="4" w:space="0" w:color="auto"/>
              <w:left w:val="single" w:sz="4" w:space="0" w:color="auto"/>
              <w:bottom w:val="single" w:sz="4" w:space="0" w:color="auto"/>
              <w:right w:val="single" w:sz="4" w:space="0" w:color="auto"/>
            </w:tcBorders>
            <w:shd w:val="clear" w:color="auto" w:fill="BFD4EF" w:themeFill="text2" w:themeFillTint="33"/>
          </w:tcPr>
          <w:p w:rsidR="0009565A" w:rsidRPr="001C565E" w:rsidRDefault="0009565A" w:rsidP="00AC0E97">
            <w:pPr>
              <w:rPr>
                <w:rFonts w:eastAsia="Times New Roman"/>
                <w:b w:val="0"/>
              </w:rPr>
            </w:pPr>
            <w:r w:rsidRPr="001C565E">
              <w:rPr>
                <w:rFonts w:eastAsia="Times New Roman"/>
                <w:b w:val="0"/>
              </w:rPr>
              <w:t xml:space="preserve">Justification: Provide examples from materials as evidence to support each response for this section. Provide </w:t>
            </w:r>
            <w:r w:rsidR="003439E8">
              <w:rPr>
                <w:rFonts w:eastAsia="Times New Roman"/>
                <w:b w:val="0"/>
              </w:rPr>
              <w:t>descriptions</w:t>
            </w:r>
            <w:r w:rsidRPr="001C565E">
              <w:rPr>
                <w:rFonts w:eastAsia="Times New Roman"/>
                <w:b w:val="0"/>
              </w:rPr>
              <w:t>, not just page numbers.</w:t>
            </w:r>
          </w:p>
        </w:tc>
      </w:tr>
      <w:tr w:rsidR="00474E9A" w:rsidTr="007440ED">
        <w:trPr>
          <w:trHeight w:val="602"/>
        </w:trPr>
        <w:tc>
          <w:tcPr>
            <w:tcW w:w="1813" w:type="pct"/>
            <w:tcBorders>
              <w:top w:val="single" w:sz="4" w:space="0" w:color="auto"/>
            </w:tcBorders>
            <w:noWrap/>
          </w:tcPr>
          <w:p w:rsidR="00474E9A" w:rsidRPr="002D4373" w:rsidRDefault="00474E9A" w:rsidP="00474E9A">
            <w:r w:rsidRPr="002D4373">
              <w:t>CTE WELD.10.2.1 Demonstrate proper setup of fabrication area, equipment, and materials.</w:t>
            </w:r>
          </w:p>
        </w:tc>
        <w:tc>
          <w:tcPr>
            <w:tcW w:w="3187" w:type="pct"/>
            <w:tcBorders>
              <w:top w:val="single" w:sz="4" w:space="0" w:color="auto"/>
            </w:tcBorders>
          </w:tcPr>
          <w:p w:rsidR="00474E9A" w:rsidRPr="003411D8" w:rsidRDefault="00474E9A" w:rsidP="00474E9A"/>
        </w:tc>
      </w:tr>
      <w:tr w:rsidR="00474E9A" w:rsidTr="007440ED">
        <w:trPr>
          <w:trHeight w:val="602"/>
        </w:trPr>
        <w:tc>
          <w:tcPr>
            <w:tcW w:w="1813" w:type="pct"/>
            <w:noWrap/>
          </w:tcPr>
          <w:p w:rsidR="00474E9A" w:rsidRPr="002D4373" w:rsidRDefault="00474E9A" w:rsidP="00474E9A">
            <w:r w:rsidRPr="002D4373">
              <w:t>CTE WELD.10.2.2 Construct projects in the proper sequence.</w:t>
            </w:r>
          </w:p>
        </w:tc>
        <w:tc>
          <w:tcPr>
            <w:tcW w:w="3187" w:type="pct"/>
          </w:tcPr>
          <w:p w:rsidR="00474E9A" w:rsidRPr="003411D8" w:rsidRDefault="00474E9A" w:rsidP="00474E9A"/>
        </w:tc>
      </w:tr>
      <w:tr w:rsidR="00474E9A" w:rsidTr="007440ED">
        <w:trPr>
          <w:trHeight w:val="602"/>
        </w:trPr>
        <w:tc>
          <w:tcPr>
            <w:tcW w:w="1813" w:type="pct"/>
            <w:noWrap/>
          </w:tcPr>
          <w:p w:rsidR="00474E9A" w:rsidRPr="002D4373" w:rsidRDefault="00474E9A" w:rsidP="00474E9A">
            <w:r w:rsidRPr="002D4373">
              <w:t>CTE WELD.10.2.3 Properly layout projects from welding prints.</w:t>
            </w:r>
          </w:p>
        </w:tc>
        <w:tc>
          <w:tcPr>
            <w:tcW w:w="3187" w:type="pct"/>
          </w:tcPr>
          <w:p w:rsidR="00474E9A" w:rsidRPr="003411D8" w:rsidRDefault="00474E9A" w:rsidP="00474E9A"/>
        </w:tc>
      </w:tr>
      <w:tr w:rsidR="00474E9A" w:rsidTr="007440ED">
        <w:trPr>
          <w:trHeight w:val="602"/>
        </w:trPr>
        <w:tc>
          <w:tcPr>
            <w:tcW w:w="1813" w:type="pct"/>
            <w:noWrap/>
          </w:tcPr>
          <w:p w:rsidR="00474E9A" w:rsidRDefault="00474E9A" w:rsidP="00474E9A">
            <w:r w:rsidRPr="002D4373">
              <w:t>CTE WELD.10.2.4 Check work for accuracy.</w:t>
            </w:r>
          </w:p>
        </w:tc>
        <w:tc>
          <w:tcPr>
            <w:tcW w:w="3187" w:type="pct"/>
          </w:tcPr>
          <w:p w:rsidR="00474E9A" w:rsidRPr="003411D8" w:rsidRDefault="00474E9A" w:rsidP="00474E9A"/>
        </w:tc>
      </w:tr>
    </w:tbl>
    <w:p w:rsidR="0009565A" w:rsidRDefault="0009565A" w:rsidP="00FE7526">
      <w:pPr>
        <w:rPr>
          <w:rStyle w:val="IntenseEmphasis"/>
          <w:b w:val="0"/>
          <w:color w:val="417FD0" w:themeColor="text2" w:themeTint="99"/>
          <w:sz w:val="28"/>
          <w:szCs w:val="28"/>
        </w:rPr>
      </w:pPr>
    </w:p>
    <w:p w:rsidR="0009565A" w:rsidRDefault="0009565A" w:rsidP="0009565A">
      <w:pPr>
        <w:rPr>
          <w:rStyle w:val="IntenseEmphasis"/>
          <w:b w:val="0"/>
          <w:color w:val="417FD0" w:themeColor="text2" w:themeTint="99"/>
          <w:sz w:val="28"/>
          <w:szCs w:val="28"/>
        </w:rPr>
      </w:pPr>
      <w:r>
        <w:rPr>
          <w:rStyle w:val="IntenseEmphasis"/>
          <w:b w:val="0"/>
          <w:color w:val="417FD0" w:themeColor="text2" w:themeTint="99"/>
          <w:sz w:val="28"/>
          <w:szCs w:val="28"/>
        </w:rPr>
        <w:br w:type="page"/>
      </w:r>
    </w:p>
    <w:p w:rsidR="00FE7526" w:rsidRDefault="00FE7526" w:rsidP="00FE7526">
      <w:pPr>
        <w:pStyle w:val="Heading1"/>
      </w:pPr>
      <w:r w:rsidRPr="00F447B7">
        <w:lastRenderedPageBreak/>
        <w:t>Indicators of quality Rubric:</w:t>
      </w:r>
    </w:p>
    <w:p w:rsidR="00AE5279" w:rsidRDefault="00AE5279" w:rsidP="00AE5279">
      <w:pPr>
        <w:keepNext/>
        <w:keepLines/>
        <w:spacing w:before="360" w:after="120"/>
        <w:outlineLvl w:val="1"/>
        <w:rPr>
          <w:rFonts w:eastAsia="Arial"/>
          <w:bCs/>
          <w:color w:val="2B63AC"/>
          <w:sz w:val="28"/>
        </w:rPr>
      </w:pPr>
      <w:r>
        <w:rPr>
          <w:rFonts w:eastAsia="Arial"/>
          <w:bCs/>
          <w:color w:val="2B63AC"/>
          <w:sz w:val="28"/>
        </w:rPr>
        <w:t>Standards aligned and Integrated Curriculum:</w:t>
      </w:r>
    </w:p>
    <w:tbl>
      <w:tblPr>
        <w:tblStyle w:val="ProposalTable"/>
        <w:tblW w:w="5000" w:type="pct"/>
        <w:tblLook w:val="04A0" w:firstRow="1" w:lastRow="0" w:firstColumn="1" w:lastColumn="0" w:noHBand="0" w:noVBand="1"/>
        <w:tblDescription w:val="Table of equity standards"/>
      </w:tblPr>
      <w:tblGrid>
        <w:gridCol w:w="4404"/>
        <w:gridCol w:w="4946"/>
      </w:tblGrid>
      <w:tr w:rsidR="00AE5279" w:rsidTr="003439E8">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hideMark/>
          </w:tcPr>
          <w:p w:rsidR="00AE5279" w:rsidRDefault="00AE5279" w:rsidP="003439E8">
            <w:pPr>
              <w:rPr>
                <w:rFonts w:eastAsia="Arial" w:cs="Times New Roman"/>
                <w:color w:val="3B3B3B"/>
              </w:rPr>
            </w:pPr>
            <w:r>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hideMark/>
          </w:tcPr>
          <w:p w:rsidR="00AE5279" w:rsidRDefault="00AE5279" w:rsidP="003439E8">
            <w:pPr>
              <w:rPr>
                <w:rFonts w:eastAsia="Arial" w:cs="Times New Roman"/>
                <w:color w:val="3B3B3B"/>
              </w:rPr>
            </w:pPr>
            <w:r>
              <w:rPr>
                <w:rFonts w:eastAsia="Arial" w:cs="Times New Roman"/>
                <w:color w:val="3B3B3B"/>
              </w:rPr>
              <w:t>Justification: Provide examples from materials as evidence to support each response for this section. Provide descriptions, not just page numbers.</w:t>
            </w:r>
          </w:p>
        </w:tc>
      </w:tr>
      <w:tr w:rsidR="00AE5279" w:rsidTr="003439E8">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AE5279" w:rsidRDefault="00AE5279" w:rsidP="00AE5279">
            <w:pPr>
              <w:pStyle w:val="ListParagraph"/>
              <w:widowControl w:val="0"/>
              <w:numPr>
                <w:ilvl w:val="0"/>
                <w:numId w:val="48"/>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based on industry-validated technical standards and competencies.</w:t>
            </w:r>
          </w:p>
        </w:tc>
        <w:tc>
          <w:tcPr>
            <w:tcW w:w="2645" w:type="pct"/>
            <w:tcBorders>
              <w:top w:val="single" w:sz="4" w:space="0" w:color="417FD0"/>
              <w:left w:val="single" w:sz="4" w:space="0" w:color="417FD0"/>
              <w:bottom w:val="single" w:sz="4" w:space="0" w:color="417FD0"/>
              <w:right w:val="single" w:sz="4" w:space="0" w:color="417FD0"/>
            </w:tcBorders>
          </w:tcPr>
          <w:p w:rsidR="00AE5279" w:rsidRDefault="00AE5279" w:rsidP="003439E8">
            <w:pPr>
              <w:spacing w:after="0"/>
              <w:rPr>
                <w:rFonts w:eastAsia="Arial" w:cs="Times New Roman"/>
                <w:color w:val="3B3B3B"/>
              </w:rPr>
            </w:pPr>
          </w:p>
        </w:tc>
      </w:tr>
      <w:tr w:rsidR="00AE5279" w:rsidTr="003439E8">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AE5279" w:rsidRDefault="00AE5279" w:rsidP="00AE5279">
            <w:pPr>
              <w:pStyle w:val="ListParagraph"/>
              <w:widowControl w:val="0"/>
              <w:numPr>
                <w:ilvl w:val="0"/>
                <w:numId w:val="48"/>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is aligned with relevant content and standards for core subjects, such as reading, math and science, including federal, state and/or local standards, as appropriate.</w:t>
            </w:r>
          </w:p>
        </w:tc>
        <w:tc>
          <w:tcPr>
            <w:tcW w:w="2645" w:type="pct"/>
            <w:tcBorders>
              <w:top w:val="single" w:sz="4" w:space="0" w:color="417FD0"/>
              <w:left w:val="single" w:sz="4" w:space="0" w:color="417FD0"/>
              <w:bottom w:val="single" w:sz="4" w:space="0" w:color="417FD0"/>
              <w:right w:val="single" w:sz="4" w:space="0" w:color="417FD0"/>
            </w:tcBorders>
          </w:tcPr>
          <w:p w:rsidR="00AE5279" w:rsidRDefault="00AE5279" w:rsidP="003439E8">
            <w:pPr>
              <w:spacing w:after="0"/>
              <w:rPr>
                <w:rFonts w:eastAsia="Arial" w:cs="Times New Roman"/>
                <w:color w:val="3B3B3B"/>
              </w:rPr>
            </w:pPr>
          </w:p>
        </w:tc>
      </w:tr>
      <w:tr w:rsidR="00AE5279" w:rsidTr="003439E8">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AE5279" w:rsidRDefault="00AE5279" w:rsidP="00AE5279">
            <w:pPr>
              <w:pStyle w:val="ListParagraph"/>
              <w:widowControl w:val="0"/>
              <w:numPr>
                <w:ilvl w:val="0"/>
                <w:numId w:val="48"/>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incorporates employability skill standards that help students succeed in the workplace, such as problem solving, critical thinking, teamwork, communications and workplace etiquette.</w:t>
            </w:r>
          </w:p>
        </w:tc>
        <w:tc>
          <w:tcPr>
            <w:tcW w:w="2645" w:type="pct"/>
            <w:tcBorders>
              <w:top w:val="single" w:sz="4" w:space="0" w:color="417FD0"/>
              <w:left w:val="single" w:sz="4" w:space="0" w:color="417FD0"/>
              <w:bottom w:val="single" w:sz="4" w:space="0" w:color="417FD0"/>
              <w:right w:val="single" w:sz="4" w:space="0" w:color="417FD0"/>
            </w:tcBorders>
          </w:tcPr>
          <w:p w:rsidR="00AE5279" w:rsidRDefault="00AE5279" w:rsidP="003439E8">
            <w:pPr>
              <w:spacing w:after="0"/>
              <w:rPr>
                <w:rFonts w:eastAsia="Arial" w:cs="Times New Roman"/>
                <w:color w:val="3B3B3B"/>
              </w:rPr>
            </w:pPr>
          </w:p>
        </w:tc>
      </w:tr>
      <w:tr w:rsidR="00AE5279" w:rsidTr="003439E8">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AE5279" w:rsidRDefault="00AE5279" w:rsidP="00AE5279">
            <w:pPr>
              <w:pStyle w:val="ListParagraph"/>
              <w:widowControl w:val="0"/>
              <w:numPr>
                <w:ilvl w:val="0"/>
                <w:numId w:val="48"/>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The curriculum allows for student application of integrated knowledge and skills in authentic scenarios.</w:t>
            </w:r>
          </w:p>
        </w:tc>
        <w:tc>
          <w:tcPr>
            <w:tcW w:w="2645" w:type="pct"/>
            <w:tcBorders>
              <w:top w:val="single" w:sz="4" w:space="0" w:color="417FD0"/>
              <w:left w:val="single" w:sz="4" w:space="0" w:color="417FD0"/>
              <w:bottom w:val="single" w:sz="4" w:space="0" w:color="417FD0"/>
              <w:right w:val="single" w:sz="4" w:space="0" w:color="417FD0"/>
            </w:tcBorders>
          </w:tcPr>
          <w:p w:rsidR="00AE5279" w:rsidRDefault="00AE5279" w:rsidP="003439E8">
            <w:pPr>
              <w:spacing w:after="0"/>
              <w:rPr>
                <w:rFonts w:eastAsia="Arial" w:cs="Times New Roman"/>
                <w:color w:val="3B3B3B"/>
              </w:rPr>
            </w:pPr>
          </w:p>
        </w:tc>
      </w:tr>
      <w:tr w:rsidR="00AE5279" w:rsidTr="003439E8">
        <w:trPr>
          <w:trHeight w:val="800"/>
        </w:trPr>
        <w:tc>
          <w:tcPr>
            <w:tcW w:w="2355" w:type="pct"/>
            <w:tcBorders>
              <w:top w:val="single" w:sz="4" w:space="0" w:color="417FD0"/>
              <w:left w:val="single" w:sz="4" w:space="0" w:color="417FD0"/>
              <w:bottom w:val="single" w:sz="4" w:space="0" w:color="417FD0"/>
              <w:right w:val="single" w:sz="4" w:space="0" w:color="417FD0"/>
            </w:tcBorders>
            <w:hideMark/>
          </w:tcPr>
          <w:p w:rsidR="00AE5279" w:rsidRDefault="00AE5279" w:rsidP="00AE5279">
            <w:pPr>
              <w:pStyle w:val="ListParagraph"/>
              <w:widowControl w:val="0"/>
              <w:numPr>
                <w:ilvl w:val="0"/>
                <w:numId w:val="48"/>
              </w:numPr>
              <w:autoSpaceDE w:val="0"/>
              <w:autoSpaceDN w:val="0"/>
              <w:spacing w:after="160" w:line="240" w:lineRule="auto"/>
              <w:ind w:left="390" w:hanging="450"/>
              <w:rPr>
                <w:rFonts w:eastAsia="Arial" w:cs="Arial"/>
                <w:color w:val="5C5C5C" w:themeColor="text1" w:themeTint="BF"/>
                <w:lang w:eastAsia="ja-JP"/>
              </w:rPr>
            </w:pPr>
            <w:r>
              <w:rPr>
                <w:color w:val="5C5C5C" w:themeColor="text1" w:themeTint="BF"/>
                <w:lang w:eastAsia="ja-JP"/>
              </w:rPr>
              <w:t>Materials used reflect current workplace, industry and/or occupational practices and requirements.</w:t>
            </w:r>
          </w:p>
        </w:tc>
        <w:tc>
          <w:tcPr>
            <w:tcW w:w="2645" w:type="pct"/>
            <w:tcBorders>
              <w:top w:val="single" w:sz="4" w:space="0" w:color="417FD0"/>
              <w:left w:val="single" w:sz="4" w:space="0" w:color="417FD0"/>
              <w:bottom w:val="single" w:sz="4" w:space="0" w:color="417FD0"/>
              <w:right w:val="single" w:sz="4" w:space="0" w:color="417FD0"/>
            </w:tcBorders>
          </w:tcPr>
          <w:p w:rsidR="00AE5279" w:rsidRDefault="00AE5279" w:rsidP="003439E8">
            <w:pPr>
              <w:spacing w:after="0"/>
              <w:rPr>
                <w:rFonts w:eastAsia="Arial" w:cs="Times New Roman"/>
                <w:color w:val="3B3B3B"/>
              </w:rPr>
            </w:pPr>
          </w:p>
        </w:tc>
      </w:tr>
    </w:tbl>
    <w:p w:rsidR="00FE7526" w:rsidRPr="00647901" w:rsidRDefault="00FE7526" w:rsidP="00FE7526">
      <w:pPr>
        <w:keepNext/>
        <w:keepLines/>
        <w:spacing w:before="360" w:after="120"/>
        <w:outlineLvl w:val="1"/>
        <w:rPr>
          <w:rFonts w:eastAsia="Arial"/>
          <w:bCs/>
          <w:color w:val="2B63AC"/>
          <w:sz w:val="28"/>
        </w:rPr>
      </w:pPr>
      <w:r>
        <w:rPr>
          <w:rFonts w:eastAsia="Arial"/>
          <w:bCs/>
          <w:color w:val="2B63AC"/>
          <w:sz w:val="28"/>
        </w:rPr>
        <w:lastRenderedPageBreak/>
        <w:t xml:space="preserve">Access and </w:t>
      </w:r>
      <w:r w:rsidRPr="00647901">
        <w:rPr>
          <w:rFonts w:eastAsia="Arial"/>
          <w:bCs/>
          <w:color w:val="2B63AC"/>
          <w:sz w:val="28"/>
        </w:rPr>
        <w:t>Equity:</w:t>
      </w:r>
    </w:p>
    <w:tbl>
      <w:tblPr>
        <w:tblStyle w:val="ProposalTable"/>
        <w:tblW w:w="5000" w:type="pct"/>
        <w:tblLook w:val="04A0" w:firstRow="1" w:lastRow="0" w:firstColumn="1" w:lastColumn="0" w:noHBand="0" w:noVBand="1"/>
        <w:tblDescription w:val="Table of equity standards"/>
      </w:tblPr>
      <w:tblGrid>
        <w:gridCol w:w="4404"/>
        <w:gridCol w:w="4946"/>
      </w:tblGrid>
      <w:tr w:rsidR="00FE7526" w:rsidRPr="00647901" w:rsidTr="0009565A">
        <w:trPr>
          <w:cnfStyle w:val="100000000000" w:firstRow="1" w:lastRow="0" w:firstColumn="0" w:lastColumn="0" w:oddVBand="0" w:evenVBand="0" w:oddHBand="0" w:evenHBand="0" w:firstRowFirstColumn="0" w:firstRowLastColumn="0" w:lastRowFirstColumn="0" w:lastRowLastColumn="0"/>
          <w:trHeight w:val="1114"/>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hemeFill="text2" w:themeFillTint="33"/>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647901" w:rsidRDefault="00FE7526" w:rsidP="003411D8">
            <w:pPr>
              <w:spacing w:after="180" w:line="288" w:lineRule="auto"/>
              <w:rPr>
                <w:rFonts w:eastAsia="Arial" w:cs="Times New Roman"/>
                <w:color w:val="3B3B3B"/>
              </w:rPr>
            </w:pPr>
            <w:r w:rsidRPr="00647901">
              <w:rPr>
                <w:rFonts w:eastAsia="Arial" w:cs="Times New Roman"/>
                <w:color w:val="3B3B3B"/>
              </w:rPr>
              <w:t>Justification: Provide examples from materials as evidence to support each response for this section. Provide descriptions, not just page numbers.</w:t>
            </w: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Arial"/>
              </w:rPr>
            </w:pPr>
            <w:r w:rsidRPr="00575C4F">
              <w:rPr>
                <w:rFonts w:eastAsia="Arial" w:cs="Arial"/>
                <w:color w:val="3B3B3B" w:themeColor="text1" w:themeTint="E6"/>
              </w:rPr>
              <w:t>Materials are provided in a way that ensures all students have the opportunity to achieve success in the program of study, including by meeting Title IX, Americans with Disabilities Act and other accessibility requirements.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pStyle w:val="ListParagraph"/>
              <w:widowControl w:val="0"/>
              <w:numPr>
                <w:ilvl w:val="0"/>
                <w:numId w:val="34"/>
              </w:numPr>
              <w:autoSpaceDE w:val="0"/>
              <w:autoSpaceDN w:val="0"/>
              <w:spacing w:after="160" w:line="240" w:lineRule="auto"/>
              <w:rPr>
                <w:rFonts w:eastAsia="Arial" w:cs="Times New Roman"/>
                <w:color w:val="3B3B3B"/>
              </w:rPr>
            </w:pPr>
            <w:r w:rsidRPr="00575C4F">
              <w:rPr>
                <w:rFonts w:eastAsia="Arial" w:cs="Arial"/>
                <w:color w:val="3B3B3B" w:themeColor="text1" w:themeTint="E6"/>
              </w:rPr>
              <w:t>Materials and assessments are free from bias, inclusive and non-discriminatory, and offered in a way that ensures all students have the opportunity to achieve success in the program of study.</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line="288" w:lineRule="auto"/>
              <w:rPr>
                <w:rFonts w:eastAsia="Arial" w:cs="Times New Roman"/>
                <w:color w:val="3B3B3B"/>
              </w:rPr>
            </w:pPr>
          </w:p>
        </w:tc>
      </w:tr>
      <w:tr w:rsidR="00FE7526" w:rsidRPr="00647901" w:rsidTr="0009565A">
        <w:trPr>
          <w:trHeight w:val="80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575C4F" w:rsidRDefault="00FE7526" w:rsidP="00FE7526">
            <w:pPr>
              <w:pStyle w:val="ListParagraph"/>
              <w:widowControl w:val="0"/>
              <w:numPr>
                <w:ilvl w:val="0"/>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Contains guidance to support differentiated and culturally responsive (i.e., purposefully represents diverse cultures, linguistic backgrounds, learning styles and interests) instruction in the classroom so that every student’s need are addressed by including: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Suggestions for how to promote equitable instruction by making connections to culture, home, neighborhood, and community as appropriate.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 xml:space="preserve">Appropriate scaffolding, interventions, and supports, including integrated and appropriate reading, writing, listening, and speaking alternatives (e.g., translations, picture support, graphic </w:t>
            </w:r>
            <w:r w:rsidRPr="00575C4F">
              <w:rPr>
                <w:rFonts w:eastAsia="Arial" w:cs="Arial"/>
                <w:color w:val="3B3B3B" w:themeColor="text1" w:themeTint="E6"/>
              </w:rPr>
              <w:lastRenderedPageBreak/>
              <w:t xml:space="preserve">organizers) that neither sacrifice content nor avoid language development for English language learners, special needs, or below grade level readers. </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Digital and print resources that provide various levels of readability.</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Modifications and extensions for all students, including those performing above their grade level, to deepen understanding of the content.</w:t>
            </w:r>
          </w:p>
          <w:p w:rsidR="00FE7526" w:rsidRPr="00575C4F" w:rsidRDefault="00FE7526" w:rsidP="00FE7526">
            <w:pPr>
              <w:pStyle w:val="ListParagraph"/>
              <w:widowControl w:val="0"/>
              <w:numPr>
                <w:ilvl w:val="1"/>
                <w:numId w:val="34"/>
              </w:numPr>
              <w:autoSpaceDE w:val="0"/>
              <w:autoSpaceDN w:val="0"/>
              <w:spacing w:after="160" w:line="240" w:lineRule="auto"/>
              <w:rPr>
                <w:rFonts w:eastAsia="Arial" w:cs="Arial"/>
                <w:color w:val="3B3B3B" w:themeColor="text1" w:themeTint="E6"/>
              </w:rPr>
            </w:pPr>
            <w:r w:rsidRPr="00575C4F">
              <w:rPr>
                <w:rFonts w:eastAsia="Arial" w:cs="Arial"/>
                <w:color w:val="3B3B3B" w:themeColor="text1" w:themeTint="E6"/>
              </w:rPr>
              <w:t>Materials in multiple language formats.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647901" w:rsidRDefault="00FE7526" w:rsidP="003411D8">
            <w:pPr>
              <w:spacing w:after="0"/>
              <w:rPr>
                <w:rFonts w:eastAsia="Arial" w:cs="Times New Roman"/>
                <w:color w:val="3B3B3B"/>
              </w:rPr>
            </w:pPr>
          </w:p>
        </w:tc>
      </w:tr>
    </w:tbl>
    <w:p w:rsidR="00FE7526" w:rsidRDefault="00FE7526" w:rsidP="00FE7526"/>
    <w:p w:rsidR="00FE7526" w:rsidRPr="002D3FFF" w:rsidRDefault="00FE7526" w:rsidP="00FE7526">
      <w:pPr>
        <w:keepNext/>
        <w:keepLines/>
        <w:spacing w:before="360" w:after="120"/>
        <w:outlineLvl w:val="1"/>
        <w:rPr>
          <w:rFonts w:eastAsia="Arial"/>
          <w:bCs/>
          <w:color w:val="2B63AC"/>
          <w:sz w:val="28"/>
        </w:rPr>
      </w:pPr>
      <w:r w:rsidRPr="002D3FFF">
        <w:rPr>
          <w:rFonts w:eastAsia="Arial"/>
          <w:bCs/>
          <w:color w:val="2B63AC"/>
          <w:sz w:val="28"/>
        </w:rPr>
        <w:t xml:space="preserve">Student Focus: </w:t>
      </w:r>
    </w:p>
    <w:tbl>
      <w:tblPr>
        <w:tblStyle w:val="ProposalTable2"/>
        <w:tblW w:w="5000" w:type="pct"/>
        <w:tblLook w:val="04A0" w:firstRow="1" w:lastRow="0" w:firstColumn="1" w:lastColumn="0" w:noHBand="0" w:noVBand="1"/>
        <w:tblDescription w:val="Table of student focus standards"/>
      </w:tblPr>
      <w:tblGrid>
        <w:gridCol w:w="4402"/>
        <w:gridCol w:w="4948"/>
      </w:tblGrid>
      <w:tr w:rsidR="00FE7526" w:rsidRPr="002D3FFF" w:rsidTr="0009565A">
        <w:trPr>
          <w:cnfStyle w:val="100000000000" w:firstRow="1" w:lastRow="0" w:firstColumn="0" w:lastColumn="0" w:oddVBand="0" w:evenVBand="0" w:oddHBand="0" w:evenHBand="0" w:firstRowFirstColumn="0" w:firstRowLastColumn="0" w:lastRowFirstColumn="0" w:lastRowLastColumn="0"/>
          <w:trHeight w:val="1108"/>
          <w:tblHeader/>
        </w:trPr>
        <w:tc>
          <w:tcPr>
            <w:tcW w:w="2354"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Standards</w:t>
            </w:r>
          </w:p>
        </w:tc>
        <w:tc>
          <w:tcPr>
            <w:tcW w:w="2646" w:type="pct"/>
            <w:tcBorders>
              <w:top w:val="single" w:sz="4" w:space="0" w:color="auto"/>
              <w:left w:val="single" w:sz="4" w:space="0" w:color="auto"/>
              <w:bottom w:val="single" w:sz="4" w:space="0" w:color="auto"/>
              <w:right w:val="single" w:sz="4" w:space="0" w:color="auto"/>
            </w:tcBorders>
            <w:shd w:val="clear" w:color="auto" w:fill="BFD4EF"/>
          </w:tcPr>
          <w:p w:rsidR="00FE7526" w:rsidRPr="002D3FFF" w:rsidRDefault="00FE7526" w:rsidP="003411D8">
            <w:pPr>
              <w:spacing w:after="180" w:line="288" w:lineRule="auto"/>
              <w:rPr>
                <w:rFonts w:eastAsia="Arial" w:cs="Times New Roman"/>
                <w:color w:val="3B3B3B"/>
              </w:rPr>
            </w:pPr>
            <w:r w:rsidRPr="002D3FFF">
              <w:rPr>
                <w:rFonts w:eastAsia="Arial" w:cs="Times New Roman"/>
                <w:color w:val="3B3B3B"/>
              </w:rPr>
              <w:t>Justification: Provide examples from materials as evidence to support each response for this section. Provide descriptions, not just page numbers.</w:t>
            </w:r>
          </w:p>
        </w:tc>
      </w:tr>
      <w:tr w:rsidR="00FE7526" w:rsidRPr="002D3FFF" w:rsidTr="0009565A">
        <w:trPr>
          <w:trHeight w:val="2492"/>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575C4F">
              <w:rPr>
                <w:rFonts w:eastAsia="Arial" w:cs="Arial"/>
              </w:rPr>
              <w:t>The material supports the sequential and cumulative development of foundational skills and progresses in specificity to build students’ depth of knowledge and skills. Those skills are necessary for a student’s independent comprehension of grade-level complex texts and mastery of tasks called for by the standards.</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727"/>
        </w:trPr>
        <w:tc>
          <w:tcPr>
            <w:tcW w:w="2354" w:type="pct"/>
            <w:tcBorders>
              <w:top w:val="single" w:sz="4" w:space="0" w:color="auto"/>
              <w:left w:val="single" w:sz="4" w:space="0" w:color="417FD0"/>
              <w:bottom w:val="single" w:sz="4" w:space="0" w:color="417FD0"/>
              <w:right w:val="single" w:sz="4" w:space="0" w:color="417FD0"/>
            </w:tcBorders>
            <w:shd w:val="clear" w:color="auto" w:fill="auto"/>
          </w:tcPr>
          <w:p w:rsidR="00FE7526" w:rsidRPr="00575C4F" w:rsidRDefault="00FE7526" w:rsidP="00FE7526">
            <w:pPr>
              <w:widowControl w:val="0"/>
              <w:numPr>
                <w:ilvl w:val="0"/>
                <w:numId w:val="38"/>
              </w:numPr>
              <w:autoSpaceDE w:val="0"/>
              <w:autoSpaceDN w:val="0"/>
              <w:spacing w:after="160"/>
              <w:rPr>
                <w:rFonts w:eastAsia="Arial" w:cs="Arial"/>
              </w:rPr>
            </w:pPr>
            <w:r w:rsidRPr="00575C4F">
              <w:rPr>
                <w:rFonts w:eastAsia="Arial" w:cs="Arial"/>
              </w:rPr>
              <w:lastRenderedPageBreak/>
              <w:t>Content and standards within the program of study are non-duplicative and vertically aligned to prepare students to transition seamlessly to the next level of education.</w:t>
            </w:r>
          </w:p>
        </w:tc>
        <w:tc>
          <w:tcPr>
            <w:tcW w:w="2646" w:type="pct"/>
            <w:tcBorders>
              <w:top w:val="single" w:sz="4" w:space="0" w:color="auto"/>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rPr>
                <w:rFonts w:eastAsia="Arial" w:cs="Times New Roman"/>
                <w:color w:val="3B3B3B"/>
              </w:rPr>
            </w:pPr>
          </w:p>
        </w:tc>
      </w:tr>
      <w:tr w:rsidR="00FE7526" w:rsidRPr="002D3FFF" w:rsidTr="0009565A">
        <w:trPr>
          <w:trHeight w:val="70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FE7526">
            <w:pPr>
              <w:widowControl w:val="0"/>
              <w:numPr>
                <w:ilvl w:val="0"/>
                <w:numId w:val="38"/>
              </w:numPr>
              <w:autoSpaceDE w:val="0"/>
              <w:autoSpaceDN w:val="0"/>
              <w:spacing w:after="160"/>
              <w:rPr>
                <w:rFonts w:eastAsia="Arial" w:cs="Arial"/>
              </w:rPr>
            </w:pPr>
            <w:r w:rsidRPr="002D3FFF">
              <w:rPr>
                <w:rFonts w:eastAsia="Arial" w:cs="Arial"/>
              </w:rPr>
              <w:t>The material provides many and varied opportunities for students to work with each standard within the grade level.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44"/>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120" w:line="240" w:lineRule="auto"/>
              <w:rPr>
                <w:rFonts w:eastAsia="Arial" w:cs="Times New Roman"/>
              </w:rPr>
            </w:pPr>
            <w:r w:rsidRPr="00575C4F">
              <w:rPr>
                <w:rFonts w:eastAsia="Arial" w:cs="Times New Roman"/>
              </w:rPr>
              <w:t>The material cross-refers and integrates other content areas.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before="240" w:after="0" w:line="240" w:lineRule="auto"/>
              <w:rPr>
                <w:rFonts w:eastAsia="Arial" w:cs="Times New Roman"/>
              </w:rPr>
            </w:pPr>
            <w:r w:rsidRPr="00575C4F">
              <w:rPr>
                <w:rFonts w:eastAsia="Arial" w:cs="Times New Roman"/>
              </w:rPr>
              <w:t>The material has a balance of text types and lengths that encourage close, in-depth reading and rereading, analysis, comparison, and synthesis of texts.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sufficient supplementary activities or assignments that are appropriately integrated into the text.</w:t>
            </w:r>
          </w:p>
        </w:tc>
        <w:tc>
          <w:tcPr>
            <w:tcW w:w="2646" w:type="pct"/>
            <w:tcBorders>
              <w:top w:val="single" w:sz="4" w:space="0" w:color="417FD0"/>
              <w:left w:val="single" w:sz="4" w:space="0" w:color="417FD0"/>
              <w:bottom w:val="single" w:sz="4" w:space="0" w:color="417FD0" w:themeColor="text2" w:themeTint="99"/>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288"/>
        </w:trPr>
        <w:tc>
          <w:tcPr>
            <w:tcW w:w="2354"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develop problem-solving skills and foster synthesis and inquiry at both an individual and group level.</w:t>
            </w:r>
          </w:p>
        </w:tc>
        <w:tc>
          <w:tcPr>
            <w:tcW w:w="2646" w:type="pct"/>
            <w:tcBorders>
              <w:top w:val="single" w:sz="4" w:space="0" w:color="417FD0" w:themeColor="text2" w:themeTint="99"/>
              <w:left w:val="single" w:sz="4" w:space="0" w:color="417FD0" w:themeColor="text2" w:themeTint="99"/>
              <w:bottom w:val="single" w:sz="4" w:space="0" w:color="417FD0" w:themeColor="text2" w:themeTint="99"/>
              <w:right w:val="single" w:sz="4" w:space="0" w:color="417FD0" w:themeColor="text2" w:themeTint="99"/>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088"/>
        </w:trPr>
        <w:tc>
          <w:tcPr>
            <w:tcW w:w="2354"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has activities and assignments that reflect varied learning styles of students.</w:t>
            </w:r>
          </w:p>
        </w:tc>
        <w:tc>
          <w:tcPr>
            <w:tcW w:w="2646" w:type="pct"/>
            <w:tcBorders>
              <w:top w:val="single" w:sz="4" w:space="0" w:color="417FD0" w:themeColor="text2" w:themeTint="99"/>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980"/>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t>The material includes appropriate instructional strategies.</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r w:rsidR="00FE7526" w:rsidRPr="002D3FFF" w:rsidTr="0009565A">
        <w:trPr>
          <w:trHeight w:val="1873"/>
        </w:trPr>
        <w:tc>
          <w:tcPr>
            <w:tcW w:w="2354"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38"/>
              </w:numPr>
              <w:spacing w:after="0" w:line="240" w:lineRule="auto"/>
              <w:rPr>
                <w:rFonts w:eastAsia="Arial" w:cs="Times New Roman"/>
              </w:rPr>
            </w:pPr>
            <w:r w:rsidRPr="00575C4F">
              <w:rPr>
                <w:rFonts w:eastAsia="Arial" w:cs="Times New Roman"/>
              </w:rPr>
              <w:lastRenderedPageBreak/>
              <w:t>Project-based learning and related instructional approaches, such as problem-based, inquiry-based and challenge-based learning, are fully integrated into the material.</w:t>
            </w:r>
          </w:p>
        </w:tc>
        <w:tc>
          <w:tcPr>
            <w:tcW w:w="2646" w:type="pct"/>
            <w:tcBorders>
              <w:top w:val="single" w:sz="4" w:space="0" w:color="417FD0"/>
              <w:left w:val="single" w:sz="4" w:space="0" w:color="417FD0"/>
              <w:bottom w:val="single" w:sz="4" w:space="0" w:color="417FD0"/>
              <w:right w:val="single" w:sz="4" w:space="0" w:color="417FD0"/>
            </w:tcBorders>
            <w:shd w:val="clear" w:color="auto" w:fill="auto"/>
          </w:tcPr>
          <w:p w:rsidR="00FE7526" w:rsidRPr="002D3FFF" w:rsidRDefault="00FE7526" w:rsidP="003411D8">
            <w:pPr>
              <w:spacing w:after="0" w:line="288" w:lineRule="auto"/>
              <w:rPr>
                <w:rFonts w:eastAsia="Arial" w:cs="Times New Roman"/>
                <w:color w:val="3B3B3B"/>
              </w:rPr>
            </w:pPr>
          </w:p>
        </w:tc>
      </w:tr>
    </w:tbl>
    <w:p w:rsidR="00FE7526" w:rsidRDefault="00FE7526" w:rsidP="00FE7526"/>
    <w:p w:rsidR="00FE7526" w:rsidRPr="00894A8F" w:rsidRDefault="00FE7526" w:rsidP="00FE7526">
      <w:pPr>
        <w:keepNext/>
        <w:keepLines/>
        <w:spacing w:before="360" w:after="120"/>
        <w:outlineLvl w:val="1"/>
        <w:rPr>
          <w:rFonts w:eastAsia="Arial"/>
          <w:bCs/>
          <w:color w:val="2B63AC"/>
          <w:sz w:val="28"/>
        </w:rPr>
      </w:pPr>
      <w:r w:rsidRPr="00894A8F">
        <w:rPr>
          <w:rFonts w:eastAsia="Arial"/>
          <w:bCs/>
          <w:color w:val="2B63AC"/>
          <w:sz w:val="28"/>
        </w:rPr>
        <w:t xml:space="preserve">Pedagogical Approach: </w:t>
      </w:r>
    </w:p>
    <w:tbl>
      <w:tblPr>
        <w:tblStyle w:val="ProposalTable11"/>
        <w:tblW w:w="5000" w:type="pct"/>
        <w:tblLook w:val="04A0" w:firstRow="1" w:lastRow="0" w:firstColumn="1" w:lastColumn="0" w:noHBand="0" w:noVBand="1"/>
        <w:tblDescription w:val="Table of pedagogical approach standards"/>
      </w:tblPr>
      <w:tblGrid>
        <w:gridCol w:w="4404"/>
        <w:gridCol w:w="4946"/>
      </w:tblGrid>
      <w:tr w:rsidR="00FE7526" w:rsidRPr="00894A8F"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894A8F" w:rsidRDefault="00FE7526" w:rsidP="003411D8">
            <w:pPr>
              <w:spacing w:after="180" w:line="288" w:lineRule="auto"/>
              <w:rPr>
                <w:rFonts w:eastAsia="Arial" w:cs="Times New Roman"/>
                <w:color w:val="3B3B3B"/>
              </w:rPr>
            </w:pPr>
            <w:r w:rsidRPr="00894A8F">
              <w:rPr>
                <w:rFonts w:eastAsia="Arial" w:cs="Times New Roman"/>
                <w:color w:val="3B3B3B"/>
              </w:rPr>
              <w:t>Justification: Provide examples from materials as evidence to support each response for this section. Provide descriptions, not just page numbers.</w:t>
            </w:r>
          </w:p>
        </w:tc>
      </w:tr>
      <w:tr w:rsidR="00FE7526" w:rsidRPr="00894A8F"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120" w:line="240" w:lineRule="auto"/>
              <w:rPr>
                <w:rFonts w:eastAsia="Arial" w:cs="Arial"/>
              </w:rPr>
            </w:pPr>
            <w:r w:rsidRPr="00E967D4">
              <w:rPr>
                <w:rFonts w:eastAsia="Arial" w:cs="Arial"/>
              </w:rPr>
              <w:t xml:space="preserve">Provides guidance for teachers throughout for how learning experiences build on each other to support students in developing </w:t>
            </w:r>
            <w:r>
              <w:rPr>
                <w:rFonts w:eastAsia="Arial" w:cs="Arial"/>
              </w:rPr>
              <w:t>a deep</w:t>
            </w:r>
            <w:r w:rsidRPr="00E967D4">
              <w:rPr>
                <w:rFonts w:eastAsia="Arial" w:cs="Arial"/>
              </w:rPr>
              <w:t xml:space="preserve"> understanding of the content.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E967D4">
              <w:rPr>
                <w:rFonts w:eastAsia="Arial" w:cs="Arial"/>
              </w:rPr>
              <w:t xml:space="preserve">Provides scaffolded supports for teachers to facilitate learning of the content so that students are increasingly responsible for making sense of the content.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5"/>
              </w:numPr>
              <w:autoSpaceDE w:val="0"/>
              <w:autoSpaceDN w:val="0"/>
              <w:spacing w:after="0" w:line="240" w:lineRule="auto"/>
              <w:rPr>
                <w:rFonts w:eastAsia="Arial" w:cs="Arial"/>
              </w:rPr>
            </w:pPr>
            <w:r w:rsidRPr="00575C4F">
              <w:rPr>
                <w:rFonts w:eastAsia="Arial" w:cs="Arial"/>
              </w:rPr>
              <w:t>The material provides opportunities for supporting English language learners to regularly and actively participate with grade-level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E967D4">
              <w:rPr>
                <w:rFonts w:eastAsia="Arial" w:cs="Times New Roman"/>
              </w:rPr>
              <w:lastRenderedPageBreak/>
              <w:t>The material gives clear and concise instruction to teachers and students.  It is easy to navigate and understand.</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appropriate academic and content-specific vocabulary in the context of the learning experience that is accessible, introduced, reinforced, reviewed, and augmented with visual representations when appropriate.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0" w:line="240" w:lineRule="auto"/>
              <w:rPr>
                <w:rFonts w:eastAsia="Arial" w:cs="Times New Roman"/>
              </w:rPr>
            </w:pPr>
            <w:r w:rsidRPr="00575C4F">
              <w:rPr>
                <w:rFonts w:eastAsia="Arial" w:cs="Times New Roman"/>
              </w:rPr>
              <w:t>Allows teachers to access, revise, and print form digital resources (e.g., readings, labs, assessments, rubrics).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CF6F65">
              <w:rPr>
                <w:rFonts w:eastAsia="Arial" w:cs="Times New Roman"/>
              </w:rPr>
              <w:t xml:space="preserve">Uses varied modes (selected, constructed, project-based, extended response, and performance tasks) of instruction-embedded pre-, formative, summative, peer, and, self-assessment measures of learning.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60" w:line="240" w:lineRule="auto"/>
              <w:rPr>
                <w:rFonts w:eastAsia="Arial" w:cs="Times New Roman"/>
              </w:rPr>
            </w:pPr>
            <w:r w:rsidRPr="00E967D4">
              <w:rPr>
                <w:rFonts w:eastAsia="Arial" w:cs="Times New Roman"/>
              </w:rPr>
              <w:t xml:space="preserve">Includes editable and aligned rubrics, scoring guidelines, and exemplars that provide guidance for assessing student performance and to support teachers in planning instruction and providing ongoing feedback to students.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r w:rsidR="00FE7526" w:rsidRPr="00894A8F" w:rsidTr="0009565A">
        <w:trPr>
          <w:trHeight w:val="620"/>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5"/>
              </w:numPr>
              <w:spacing w:after="120" w:line="240" w:lineRule="auto"/>
              <w:rPr>
                <w:rFonts w:eastAsia="Arial" w:cs="Times New Roman"/>
              </w:rPr>
            </w:pPr>
            <w:r w:rsidRPr="00E967D4">
              <w:rPr>
                <w:rFonts w:eastAsia="Arial" w:cs="Times New Roman"/>
              </w:rPr>
              <w:t xml:space="preserve">Provides multiple opportunities for students to demonstrate and receive feedback on performance </w:t>
            </w:r>
            <w:r w:rsidRPr="00E967D4">
              <w:rPr>
                <w:rFonts w:eastAsia="Arial" w:cs="Times New Roman"/>
              </w:rPr>
              <w:lastRenderedPageBreak/>
              <w:t xml:space="preserve">of practices connected with their understanding of concepts. </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894A8F" w:rsidRDefault="00FE7526" w:rsidP="003411D8">
            <w:pPr>
              <w:spacing w:after="0" w:line="288" w:lineRule="auto"/>
              <w:rPr>
                <w:rFonts w:eastAsia="Arial" w:cs="Times New Roman"/>
                <w:color w:val="3B3B3B"/>
              </w:rPr>
            </w:pPr>
          </w:p>
        </w:tc>
      </w:tr>
    </w:tbl>
    <w:p w:rsidR="00FE7526" w:rsidRDefault="00FE7526" w:rsidP="00FE7526"/>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Presentation and Design:</w:t>
      </w:r>
    </w:p>
    <w:tbl>
      <w:tblPr>
        <w:tblStyle w:val="ProposalTable111"/>
        <w:tblW w:w="5000" w:type="pct"/>
        <w:tblLook w:val="04A0" w:firstRow="1" w:lastRow="0" w:firstColumn="1" w:lastColumn="0" w:noHBand="0" w:noVBand="1"/>
        <w:tblDescription w:val="Table of presentation and design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417FD0"/>
              <w:left w:val="single" w:sz="4" w:space="0" w:color="417FD0"/>
              <w:bottom w:val="single" w:sz="4" w:space="0" w:color="417FD0"/>
              <w:right w:val="single" w:sz="4" w:space="0" w:color="417FD0"/>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98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The material has an aesthetically appealing appearance.</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auto"/>
              <w:right w:val="single" w:sz="4" w:space="0" w:color="417FD0"/>
            </w:tcBorders>
            <w:shd w:val="clear" w:color="auto" w:fill="auto"/>
          </w:tcPr>
          <w:p w:rsidR="00FE7526" w:rsidRPr="00E967D4" w:rsidRDefault="00FE7526" w:rsidP="00FE7526">
            <w:pPr>
              <w:pStyle w:val="ListParagraph"/>
              <w:widowControl w:val="0"/>
              <w:numPr>
                <w:ilvl w:val="0"/>
                <w:numId w:val="46"/>
              </w:numPr>
              <w:autoSpaceDE w:val="0"/>
              <w:autoSpaceDN w:val="0"/>
              <w:spacing w:after="0" w:line="240" w:lineRule="auto"/>
              <w:rPr>
                <w:rFonts w:eastAsia="Arial" w:cs="Arial"/>
              </w:rPr>
            </w:pPr>
            <w:r w:rsidRPr="00E967D4">
              <w:rPr>
                <w:rFonts w:eastAsia="Arial" w:cs="Arial"/>
              </w:rPr>
              <w:t xml:space="preserve">Digital and print materials are consistently formatted, visually focused, and uncluttered for efficient use. </w:t>
            </w:r>
          </w:p>
        </w:tc>
        <w:tc>
          <w:tcPr>
            <w:tcW w:w="2645" w:type="pct"/>
            <w:tcBorders>
              <w:top w:val="single" w:sz="4" w:space="0" w:color="417FD0"/>
              <w:left w:val="single" w:sz="4" w:space="0" w:color="417FD0"/>
              <w:bottom w:val="single" w:sz="4" w:space="0" w:color="auto"/>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auto"/>
              <w:bottom w:val="single" w:sz="4" w:space="0" w:color="auto"/>
              <w:right w:val="single" w:sz="4" w:space="0" w:color="auto"/>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material has a reasonable and appropriate balance between text and illustration. The material has grade-appropriate font size.</w:t>
            </w:r>
          </w:p>
        </w:tc>
        <w:tc>
          <w:tcPr>
            <w:tcW w:w="2645" w:type="pct"/>
            <w:tcBorders>
              <w:top w:val="single" w:sz="4" w:space="0" w:color="auto"/>
              <w:left w:val="single" w:sz="4" w:space="0" w:color="auto"/>
              <w:bottom w:val="single" w:sz="4" w:space="0" w:color="auto"/>
              <w:right w:val="single" w:sz="4" w:space="0" w:color="auto"/>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The illustrations clearly cross-reference the text, are directly relevant to the content (not simply decorative), and promote thinking, discussion, and problem solving.</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6"/>
              </w:numPr>
              <w:spacing w:after="0" w:line="240" w:lineRule="auto"/>
              <w:rPr>
                <w:rFonts w:eastAsia="Arial" w:cs="Times New Roman"/>
              </w:rPr>
            </w:pPr>
            <w:r w:rsidRPr="00E967D4">
              <w:rPr>
                <w:rFonts w:eastAsia="Arial" w:cs="Times New Roman"/>
              </w:rPr>
              <w:t>Non-text content (performance clips, images, maps, globes, graphs, pictures, charts, databases, and models) are accurate and well integrated into the text.</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F31C7C" w:rsidRDefault="00FE7526" w:rsidP="00FE7526">
      <w:pPr>
        <w:rPr>
          <w:rFonts w:eastAsia="Arial"/>
          <w:color w:val="3B3B3B"/>
        </w:rPr>
      </w:pPr>
    </w:p>
    <w:p w:rsidR="00FE7526" w:rsidRPr="00F31C7C" w:rsidRDefault="00FE7526" w:rsidP="00FE7526">
      <w:pPr>
        <w:keepNext/>
        <w:keepLines/>
        <w:spacing w:before="360" w:after="120"/>
        <w:outlineLvl w:val="1"/>
        <w:rPr>
          <w:rFonts w:eastAsia="Arial"/>
          <w:bCs/>
          <w:color w:val="2B63AC"/>
          <w:sz w:val="28"/>
        </w:rPr>
      </w:pPr>
      <w:r w:rsidRPr="00F31C7C">
        <w:rPr>
          <w:rFonts w:eastAsia="Arial"/>
          <w:bCs/>
          <w:color w:val="2B63AC"/>
          <w:sz w:val="28"/>
        </w:rPr>
        <w:t>Technology:</w:t>
      </w:r>
    </w:p>
    <w:tbl>
      <w:tblPr>
        <w:tblStyle w:val="ProposalTable12"/>
        <w:tblW w:w="5000" w:type="pct"/>
        <w:tblLook w:val="04A0" w:firstRow="1" w:lastRow="0" w:firstColumn="1" w:lastColumn="0" w:noHBand="0" w:noVBand="1"/>
        <w:tblDescription w:val="Table of technology standards"/>
      </w:tblPr>
      <w:tblGrid>
        <w:gridCol w:w="4404"/>
        <w:gridCol w:w="4946"/>
      </w:tblGrid>
      <w:tr w:rsidR="00FE7526" w:rsidRPr="00F31C7C" w:rsidTr="0009565A">
        <w:trPr>
          <w:cnfStyle w:val="100000000000" w:firstRow="1" w:lastRow="0" w:firstColumn="0" w:lastColumn="0" w:oddVBand="0" w:evenVBand="0" w:oddHBand="0" w:evenHBand="0" w:firstRowFirstColumn="0" w:firstRowLastColumn="0" w:lastRowFirstColumn="0" w:lastRowLastColumn="0"/>
          <w:trHeight w:val="1119"/>
          <w:tblHeader/>
        </w:trPr>
        <w:tc>
          <w:tcPr>
            <w:tcW w:w="235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Standards</w:t>
            </w:r>
          </w:p>
        </w:tc>
        <w:tc>
          <w:tcPr>
            <w:tcW w:w="2645" w:type="pct"/>
            <w:tcBorders>
              <w:top w:val="single" w:sz="4" w:space="0" w:color="auto"/>
              <w:left w:val="single" w:sz="4" w:space="0" w:color="auto"/>
              <w:bottom w:val="single" w:sz="4" w:space="0" w:color="auto"/>
              <w:right w:val="single" w:sz="4" w:space="0" w:color="auto"/>
            </w:tcBorders>
            <w:shd w:val="clear" w:color="auto" w:fill="BFD4EF"/>
          </w:tcPr>
          <w:p w:rsidR="00FE7526" w:rsidRPr="00F31C7C" w:rsidRDefault="00FE7526" w:rsidP="003411D8">
            <w:pPr>
              <w:spacing w:after="180" w:line="288" w:lineRule="auto"/>
              <w:rPr>
                <w:rFonts w:eastAsia="Arial" w:cs="Times New Roman"/>
                <w:color w:val="3B3B3B"/>
              </w:rPr>
            </w:pPr>
            <w:r w:rsidRPr="00F31C7C">
              <w:rPr>
                <w:rFonts w:eastAsia="Arial" w:cs="Times New Roman"/>
                <w:color w:val="3B3B3B"/>
              </w:rPr>
              <w:t>Justification: Provide examples from materials as evidence to support each response for this section. Provide descriptions, not just page numbers.</w:t>
            </w:r>
          </w:p>
        </w:tc>
      </w:tr>
      <w:tr w:rsidR="00FE7526" w:rsidRPr="00F31C7C" w:rsidTr="0009565A">
        <w:trPr>
          <w:trHeight w:val="1482"/>
        </w:trPr>
        <w:tc>
          <w:tcPr>
            <w:tcW w:w="2355" w:type="pct"/>
            <w:tcBorders>
              <w:top w:val="single" w:sz="4" w:space="0" w:color="auto"/>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widowControl w:val="0"/>
              <w:numPr>
                <w:ilvl w:val="0"/>
                <w:numId w:val="47"/>
              </w:numPr>
              <w:autoSpaceDE w:val="0"/>
              <w:autoSpaceDN w:val="0"/>
              <w:spacing w:after="0" w:line="240" w:lineRule="auto"/>
              <w:rPr>
                <w:rFonts w:eastAsia="Arial" w:cs="Times New Roman"/>
                <w:color w:val="3B3B3B"/>
              </w:rPr>
            </w:pPr>
            <w:r w:rsidRPr="00E967D4">
              <w:rPr>
                <w:rFonts w:eastAsia="Arial" w:cs="Times New Roman"/>
                <w:color w:val="3B3B3B"/>
              </w:rPr>
              <w:t xml:space="preserve">Technology and digital media support, extend, and enhance learning experiences. </w:t>
            </w:r>
          </w:p>
        </w:tc>
        <w:tc>
          <w:tcPr>
            <w:tcW w:w="2645" w:type="pct"/>
            <w:tcBorders>
              <w:top w:val="single" w:sz="4" w:space="0" w:color="auto"/>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769"/>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 xml:space="preserve">The material has “platform neutral” technology (i.e., </w:t>
            </w:r>
            <w:r>
              <w:rPr>
                <w:rFonts w:eastAsia="Arial" w:cs="Times New Roman"/>
              </w:rPr>
              <w:t>cloud based</w:t>
            </w:r>
            <w:r w:rsidRPr="00E967D4">
              <w:rPr>
                <w:rFonts w:eastAsia="Arial" w:cs="Times New Roman"/>
              </w:rPr>
              <w:t>) and availability for networking.</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r w:rsidR="00FE7526" w:rsidRPr="00F31C7C" w:rsidTr="0009565A">
        <w:trPr>
          <w:trHeight w:val="1466"/>
        </w:trPr>
        <w:tc>
          <w:tcPr>
            <w:tcW w:w="2355" w:type="pct"/>
            <w:tcBorders>
              <w:top w:val="single" w:sz="4" w:space="0" w:color="417FD0"/>
              <w:left w:val="single" w:sz="4" w:space="0" w:color="417FD0"/>
              <w:bottom w:val="single" w:sz="4" w:space="0" w:color="417FD0"/>
              <w:right w:val="single" w:sz="4" w:space="0" w:color="417FD0"/>
            </w:tcBorders>
            <w:shd w:val="clear" w:color="auto" w:fill="auto"/>
          </w:tcPr>
          <w:p w:rsidR="00FE7526" w:rsidRPr="00E967D4" w:rsidRDefault="00FE7526" w:rsidP="00FE7526">
            <w:pPr>
              <w:pStyle w:val="ListParagraph"/>
              <w:numPr>
                <w:ilvl w:val="0"/>
                <w:numId w:val="47"/>
              </w:numPr>
              <w:spacing w:after="0" w:line="240" w:lineRule="auto"/>
              <w:rPr>
                <w:rFonts w:eastAsia="Arial" w:cs="Times New Roman"/>
              </w:rPr>
            </w:pPr>
            <w:r w:rsidRPr="00E967D4">
              <w:rPr>
                <w:rFonts w:eastAsia="Arial" w:cs="Times New Roman"/>
              </w:rPr>
              <w:t>The material has a user-friendly and interactive interface allowing the user to control (shift among activities).</w:t>
            </w:r>
          </w:p>
        </w:tc>
        <w:tc>
          <w:tcPr>
            <w:tcW w:w="2645" w:type="pct"/>
            <w:tcBorders>
              <w:top w:val="single" w:sz="4" w:space="0" w:color="417FD0"/>
              <w:left w:val="single" w:sz="4" w:space="0" w:color="417FD0"/>
              <w:bottom w:val="single" w:sz="4" w:space="0" w:color="417FD0"/>
              <w:right w:val="single" w:sz="4" w:space="0" w:color="417FD0"/>
            </w:tcBorders>
            <w:shd w:val="clear" w:color="auto" w:fill="auto"/>
          </w:tcPr>
          <w:p w:rsidR="00FE7526" w:rsidRPr="00F31C7C" w:rsidRDefault="00FE7526" w:rsidP="003411D8">
            <w:pPr>
              <w:spacing w:after="0" w:line="288" w:lineRule="auto"/>
              <w:rPr>
                <w:rFonts w:eastAsia="Arial" w:cs="Times New Roman"/>
                <w:color w:val="3B3B3B"/>
              </w:rPr>
            </w:pPr>
          </w:p>
        </w:tc>
      </w:tr>
    </w:tbl>
    <w:p w:rsidR="00FE7526" w:rsidRPr="00BE25AF" w:rsidRDefault="00FE7526" w:rsidP="00FE7526">
      <w:pPr>
        <w:pStyle w:val="Contact"/>
        <w:spacing w:line="240" w:lineRule="auto"/>
      </w:pPr>
      <w:r>
        <w:t>F</w:t>
      </w:r>
      <w:r w:rsidRPr="00BE25AF">
        <w:t>or Questions Contact</w:t>
      </w:r>
    </w:p>
    <w:bookmarkEnd w:id="0"/>
    <w:p w:rsidR="00FE7526" w:rsidRDefault="00FE7526" w:rsidP="00FE7526">
      <w:pPr>
        <w:spacing w:after="0" w:line="240" w:lineRule="auto"/>
      </w:pPr>
      <w:r>
        <w:t xml:space="preserve">Content &amp; Curriculum </w:t>
      </w:r>
    </w:p>
    <w:p w:rsidR="00FE7526" w:rsidRDefault="00FE7526" w:rsidP="00FE7526">
      <w:pPr>
        <w:spacing w:after="0" w:line="240" w:lineRule="auto"/>
      </w:pPr>
      <w:r>
        <w:t>Idaho State Department of Education</w:t>
      </w:r>
    </w:p>
    <w:p w:rsidR="00FE7526" w:rsidRDefault="00FE7526" w:rsidP="00FE7526">
      <w:pPr>
        <w:spacing w:after="0" w:line="240" w:lineRule="auto"/>
      </w:pPr>
      <w:r>
        <w:t>650 W State Street, Boise, ID 83702</w:t>
      </w:r>
    </w:p>
    <w:p w:rsidR="00FE7526" w:rsidRPr="009255D7" w:rsidRDefault="00FE7526" w:rsidP="00FE7526">
      <w:pPr>
        <w:spacing w:after="0" w:line="240" w:lineRule="auto"/>
      </w:pPr>
      <w:r>
        <w:t xml:space="preserve">208 332 6800 | </w:t>
      </w:r>
      <w:hyperlink r:id="rId9" w:tooltip="Idaho State Department of Educatin" w:history="1">
        <w:r w:rsidR="000162C8">
          <w:rPr>
            <w:rStyle w:val="Hyperlink"/>
          </w:rPr>
          <w:t>www.sde.idaho.gov</w:t>
        </w:r>
      </w:hyperlink>
      <w:r>
        <w:t xml:space="preserve"> </w:t>
      </w:r>
    </w:p>
    <w:p w:rsidR="00904A84" w:rsidRPr="00904A84" w:rsidRDefault="00904A84" w:rsidP="00EE766D">
      <w:pPr>
        <w:spacing w:after="0" w:line="240" w:lineRule="auto"/>
      </w:pPr>
    </w:p>
    <w:sectPr w:rsidR="00904A84" w:rsidRPr="00904A84" w:rsidSect="00B325E2">
      <w:footerReference w:type="default" r:id="rId10"/>
      <w:headerReference w:type="first" r:id="rId11"/>
      <w:footerReference w:type="first" r:id="rId12"/>
      <w:pgSz w:w="12240" w:h="15840" w:code="1"/>
      <w:pgMar w:top="1440" w:right="1440" w:bottom="990"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39E8" w:rsidRDefault="003439E8">
      <w:pPr>
        <w:spacing w:after="0" w:line="240" w:lineRule="auto"/>
      </w:pPr>
      <w:r>
        <w:separator/>
      </w:r>
    </w:p>
  </w:endnote>
  <w:endnote w:type="continuationSeparator" w:id="0">
    <w:p w:rsidR="003439E8" w:rsidRDefault="003439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swiss"/>
    <w:pitch w:val="variable"/>
    <w:sig w:usb0="E00002EF" w:usb1="4000205B" w:usb2="00000028" w:usb3="00000000" w:csb0="0000019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Open Sans SemiBold">
    <w:altName w:val="Segoe UI Semibold"/>
    <w:charset w:val="00"/>
    <w:family w:val="swiss"/>
    <w:pitch w:val="variable"/>
    <w:sig w:usb0="E00002EF" w:usb1="4000205B" w:usb2="00000028" w:usb3="00000000" w:csb0="0000019F" w:csb1="00000000"/>
  </w:font>
  <w:font w:name="Open Sans ExtraBold">
    <w:altName w:val="Segoe UI Semibold"/>
    <w:charset w:val="00"/>
    <w:family w:val="swiss"/>
    <w:pitch w:val="variable"/>
    <w:sig w:usb0="E00002EF" w:usb1="4000205B" w:usb2="00000028" w:usb3="00000000" w:csb0="0000019F" w:csb1="00000000"/>
  </w:font>
  <w:font w:name="Merriweather">
    <w:altName w:val="Cambria Math"/>
    <w:charset w:val="00"/>
    <w:family w:val="auto"/>
    <w:pitch w:val="variable"/>
    <w:sig w:usb0="20000207" w:usb1="00000000"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9E8" w:rsidRPr="00132C9E" w:rsidRDefault="003439E8" w:rsidP="00D550CF">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01/31/2020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Welding Technology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26</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3439E8" w:rsidRPr="00D96187" w:rsidRDefault="003439E8" w:rsidP="00D961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9E8" w:rsidRPr="00132C9E" w:rsidRDefault="003439E8" w:rsidP="006B5881">
    <w:pPr>
      <w:pStyle w:val="Footer"/>
      <w:pBdr>
        <w:top w:val="single" w:sz="4" w:space="1" w:color="5C5C5C" w:themeColor="text1" w:themeTint="BF"/>
      </w:pBdr>
      <w:rPr>
        <w:rFonts w:ascii="Calibri" w:hAnsi="Calibri"/>
        <w:color w:val="5C5C5C" w:themeColor="text1" w:themeTint="BF"/>
      </w:rPr>
    </w:pPr>
    <w:r w:rsidRPr="006B5881">
      <w:rPr>
        <w:rFonts w:ascii="Calibri" w:hAnsi="Calibri" w:cs="Open Sans"/>
        <w:caps/>
        <w:color w:val="5C5C5C" w:themeColor="text1" w:themeTint="BF"/>
      </w:rPr>
      <w:t>CREATED</w:t>
    </w:r>
    <w:r w:rsidRPr="00132C9E">
      <w:rPr>
        <w:rFonts w:ascii="Calibri" w:hAnsi="Calibri" w:cs="Open Sans"/>
        <w:color w:val="5C5C5C" w:themeColor="text1" w:themeTint="BF"/>
      </w:rPr>
      <w:t xml:space="preserve"> </w:t>
    </w:r>
    <w:r>
      <w:rPr>
        <w:rFonts w:ascii="Calibri" w:hAnsi="Calibri" w:cs="Open Sans"/>
        <w:color w:val="5C5C5C" w:themeColor="text1" w:themeTint="BF"/>
      </w:rPr>
      <w:t>01/31/2020</w:t>
    </w:r>
    <w:r w:rsidRPr="00132C9E">
      <w:rPr>
        <w:rFonts w:ascii="Calibri" w:hAnsi="Calibri"/>
        <w:color w:val="5C5C5C" w:themeColor="text1" w:themeTint="BF"/>
      </w:rPr>
      <w:ptab w:relativeTo="margin" w:alignment="right" w:leader="none"/>
    </w:r>
    <w:r>
      <w:rPr>
        <w:rFonts w:ascii="Calibri" w:hAnsi="Calibri" w:cs="Open Sans SemiBold"/>
        <w:color w:val="112845" w:themeColor="text2" w:themeShade="BF"/>
      </w:rPr>
      <w:t xml:space="preserve">AFNR Welding Technology Evaluation Tool  </w:t>
    </w:r>
    <w:r>
      <w:rPr>
        <w:rFonts w:ascii="Calibri" w:hAnsi="Calibri" w:cs="Open Sans"/>
        <w:color w:val="5C5C5C" w:themeColor="text1" w:themeTint="BF"/>
      </w:rPr>
      <w:t>/ C &amp; C</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Pr>
        <w:rFonts w:ascii="Calibri" w:hAnsi="Calibri" w:cs="Open Sans"/>
        <w:color w:val="5C5C5C" w:themeColor="text1" w:themeTint="BF"/>
      </w:rPr>
      <w:t>SDE</w:t>
    </w:r>
    <w:r w:rsidRPr="00132C9E">
      <w:rPr>
        <w:rFonts w:ascii="Calibri" w:hAnsi="Calibri" w:cs="Open Sans"/>
        <w:color w:val="5C5C5C" w:themeColor="text1" w:themeTint="BF"/>
      </w:rPr>
      <w:t xml:space="preserve"> </w:t>
    </w:r>
    <w:r>
      <w:rPr>
        <w:rFonts w:ascii="Calibri" w:hAnsi="Calibri" w:cs="Open Sans"/>
        <w:color w:val="5C5C5C" w:themeColor="text1" w:themeTint="BF"/>
      </w:rPr>
      <w:t xml:space="preserve"> / </w:t>
    </w:r>
    <w:r w:rsidRPr="00132C9E">
      <w:rPr>
        <w:rFonts w:ascii="Calibri" w:hAnsi="Calibri" w:cs="Open Sans"/>
        <w:color w:val="5C5C5C" w:themeColor="text1" w:themeTint="BF"/>
      </w:rPr>
      <w:t xml:space="preserve"> </w:t>
    </w:r>
    <w:r w:rsidRPr="00132C9E">
      <w:rPr>
        <w:rFonts w:ascii="Calibri" w:hAnsi="Calibri" w:cs="Open Sans SemiBold"/>
        <w:noProof w:val="0"/>
        <w:color w:val="112845" w:themeColor="text2" w:themeShade="BF"/>
      </w:rPr>
      <w:fldChar w:fldCharType="begin"/>
    </w:r>
    <w:r w:rsidRPr="00132C9E">
      <w:rPr>
        <w:rFonts w:ascii="Calibri" w:hAnsi="Calibri" w:cs="Open Sans SemiBold"/>
        <w:color w:val="112845" w:themeColor="text2" w:themeShade="BF"/>
      </w:rPr>
      <w:instrText xml:space="preserve"> PAGE   \* MERGEFORMAT </w:instrText>
    </w:r>
    <w:r w:rsidRPr="00132C9E">
      <w:rPr>
        <w:rFonts w:ascii="Calibri" w:hAnsi="Calibri" w:cs="Open Sans SemiBold"/>
        <w:noProof w:val="0"/>
        <w:color w:val="112845" w:themeColor="text2" w:themeShade="BF"/>
      </w:rPr>
      <w:fldChar w:fldCharType="separate"/>
    </w:r>
    <w:r>
      <w:rPr>
        <w:rFonts w:ascii="Calibri" w:hAnsi="Calibri" w:cs="Open Sans SemiBold"/>
        <w:color w:val="112845" w:themeColor="text2" w:themeShade="BF"/>
      </w:rPr>
      <w:t>1</w:t>
    </w:r>
    <w:r w:rsidRPr="00132C9E">
      <w:rPr>
        <w:rFonts w:ascii="Calibri" w:hAnsi="Calibri" w:cs="Open Sans SemiBold"/>
        <w:color w:val="112845" w:themeColor="text2" w:themeShade="BF"/>
      </w:rPr>
      <w:fldChar w:fldCharType="end"/>
    </w:r>
    <w:r w:rsidRPr="00132C9E">
      <w:rPr>
        <w:rFonts w:ascii="Calibri" w:hAnsi="Calibri" w:cs="Open Sans ExtraBold"/>
        <w:color w:val="5C5C5C" w:themeColor="text1" w:themeTint="BF"/>
      </w:rPr>
      <w:t xml:space="preserve"> </w:t>
    </w:r>
  </w:p>
  <w:p w:rsidR="003439E8" w:rsidRPr="006B5881" w:rsidRDefault="003439E8" w:rsidP="006B5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39E8" w:rsidRDefault="003439E8">
      <w:pPr>
        <w:spacing w:after="0" w:line="240" w:lineRule="auto"/>
      </w:pPr>
      <w:r>
        <w:separator/>
      </w:r>
    </w:p>
  </w:footnote>
  <w:footnote w:type="continuationSeparator" w:id="0">
    <w:p w:rsidR="003439E8" w:rsidRDefault="003439E8">
      <w:pPr>
        <w:spacing w:after="0" w:line="240" w:lineRule="auto"/>
      </w:pPr>
      <w:r>
        <w:continuationSeparator/>
      </w:r>
    </w:p>
  </w:footnote>
  <w:footnote w:id="1">
    <w:p w:rsidR="003439E8" w:rsidRDefault="003439E8" w:rsidP="006718C2">
      <w:pPr>
        <w:pStyle w:val="FootnoteText"/>
      </w:pPr>
      <w:r>
        <w:rPr>
          <w:rStyle w:val="FootnoteReference"/>
        </w:rPr>
        <w:footnoteRef/>
      </w:r>
      <w:r>
        <w:t xml:space="preserve"> </w:t>
      </w:r>
      <w:hyperlink r:id="rId1" w:tooltip="Welding Technology program standards" w:history="1">
        <w:r w:rsidRPr="003439E8">
          <w:rPr>
            <w:rStyle w:val="Hyperlink"/>
          </w:rPr>
          <w:t>Idaho AFNR Welding Technology Program Standards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39E8" w:rsidRDefault="003439E8" w:rsidP="004D7031">
    <w:pPr>
      <w:pStyle w:val="Header"/>
      <w:jc w:val="right"/>
    </w:pPr>
    <w:r>
      <w:rPr>
        <w:rFonts w:ascii="Merriweather" w:hAnsi="Merriweather"/>
        <w:b/>
        <w:noProof/>
        <w:sz w:val="50"/>
        <w:szCs w:val="50"/>
        <w:lang w:eastAsia="en-US"/>
      </w:rPr>
      <w:drawing>
        <wp:inline distT="0" distB="0" distL="0" distR="0" wp14:anchorId="1DB300CD" wp14:editId="77328B44">
          <wp:extent cx="822960" cy="822960"/>
          <wp:effectExtent l="0" t="0" r="0" b="0"/>
          <wp:docPr id="11" name="Picture 11" descr="&quot;Department of Education State of Idaho&quo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DE-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2960" cy="822960"/>
                  </a:xfrm>
                  <a:prstGeom prst="rect">
                    <a:avLst/>
                  </a:prstGeom>
                </pic:spPr>
              </pic:pic>
            </a:graphicData>
          </a:graphic>
        </wp:inline>
      </w:drawing>
    </w:r>
    <w:r>
      <w:rPr>
        <w:noProof/>
        <w:lang w:eastAsia="en-US"/>
      </w:rPr>
      <w:drawing>
        <wp:inline distT="0" distB="0" distL="0" distR="0">
          <wp:extent cx="943610" cy="549910"/>
          <wp:effectExtent l="0" t="0" r="8890" b="2540"/>
          <wp:docPr id="12" name="Picture 12" descr="Logo for career and technical education" title="C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43610" cy="5499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E04C5A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E07316"/>
    <w:multiLevelType w:val="hybridMultilevel"/>
    <w:tmpl w:val="30E2A344"/>
    <w:lvl w:ilvl="0" w:tplc="7994AD3A">
      <w:start w:val="1"/>
      <w:numFmt w:val="upperRoman"/>
      <w:pStyle w:val="SectionHeading"/>
      <w:lvlText w:val="%1"/>
      <w:lvlJc w:val="left"/>
      <w:pPr>
        <w:ind w:left="360" w:hanging="360"/>
      </w:pPr>
      <w:rPr>
        <w:rFonts w:hint="default"/>
        <w:b w:val="0"/>
        <w:bCs w:val="0"/>
        <w:i w:val="0"/>
        <w:iCs w:val="0"/>
        <w:caps w:val="0"/>
        <w:smallCaps w:val="0"/>
        <w:strike w:val="0"/>
        <w:dstrike w:val="0"/>
        <w:vanish w:val="0"/>
        <w:color w:val="417FD0" w:themeColor="text2" w:themeTint="99"/>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0FFE3105"/>
    <w:multiLevelType w:val="hybridMultilevel"/>
    <w:tmpl w:val="8A0EC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AB0AD6"/>
    <w:multiLevelType w:val="hybridMultilevel"/>
    <w:tmpl w:val="E78A4B40"/>
    <w:lvl w:ilvl="0" w:tplc="8A5C9356">
      <w:start w:val="1"/>
      <w:numFmt w:val="decimal"/>
      <w:pStyle w:val="ListParagraph"/>
      <w:lvlText w:val="%1."/>
      <w:lvlJc w:val="left"/>
      <w:pPr>
        <w:ind w:left="504" w:hanging="360"/>
      </w:pPr>
      <w:rPr>
        <w:rFonts w:hint="default"/>
        <w:color w:val="081422" w:themeColor="background2" w:themeShade="1A"/>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10722"/>
    <w:multiLevelType w:val="hybridMultilevel"/>
    <w:tmpl w:val="035EAD3A"/>
    <w:lvl w:ilvl="0" w:tplc="4D588AFA">
      <w:start w:val="1"/>
      <w:numFmt w:val="upperRoman"/>
      <w:pStyle w:val="AppendixHeading"/>
      <w:suff w:val="space"/>
      <w:lvlText w:val="Appendix %1."/>
      <w:lvlJc w:val="left"/>
      <w:pPr>
        <w:ind w:left="216" w:hanging="216"/>
      </w:pPr>
      <w:rPr>
        <w:rFonts w:hint="default"/>
        <w:b w:val="0"/>
        <w:bCs w:val="0"/>
        <w:i w:val="0"/>
        <w:iCs w:val="0"/>
        <w:caps w:val="0"/>
        <w:smallCaps w:val="0"/>
        <w:strike w:val="0"/>
        <w:dstrike w:val="0"/>
        <w:noProof w:val="0"/>
        <w:vanish w:val="0"/>
        <w:color w:val="417FD0" w:themeColor="text2" w:themeTint="99"/>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A517ED"/>
    <w:multiLevelType w:val="hybridMultilevel"/>
    <w:tmpl w:val="441C56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076494"/>
    <w:multiLevelType w:val="hybridMultilevel"/>
    <w:tmpl w:val="1DF6B8C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B01BD3"/>
    <w:multiLevelType w:val="hybridMultilevel"/>
    <w:tmpl w:val="0AA80C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C834D5"/>
    <w:multiLevelType w:val="hybridMultilevel"/>
    <w:tmpl w:val="01DEDA4A"/>
    <w:lvl w:ilvl="0" w:tplc="31E80F08">
      <w:start w:val="1"/>
      <w:numFmt w:val="lowerLetter"/>
      <w:lvlText w:val="%1."/>
      <w:lvlJc w:val="left"/>
      <w:pPr>
        <w:ind w:left="720" w:hanging="360"/>
      </w:pPr>
      <w:rPr>
        <w:rFonts w:cs="Arial" w:hint="default"/>
        <w:color w:val="5C5C5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381C00"/>
    <w:multiLevelType w:val="hybridMultilevel"/>
    <w:tmpl w:val="D17C1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C22C6F"/>
    <w:multiLevelType w:val="hybridMultilevel"/>
    <w:tmpl w:val="C5C4951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2DA67A3F"/>
    <w:multiLevelType w:val="hybridMultilevel"/>
    <w:tmpl w:val="32B472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98622F"/>
    <w:multiLevelType w:val="hybridMultilevel"/>
    <w:tmpl w:val="548E2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3E2C5A"/>
    <w:multiLevelType w:val="hybridMultilevel"/>
    <w:tmpl w:val="717AE9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34282265"/>
    <w:multiLevelType w:val="hybridMultilevel"/>
    <w:tmpl w:val="6930F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BC47A9"/>
    <w:multiLevelType w:val="hybridMultilevel"/>
    <w:tmpl w:val="D604D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AB2AF9"/>
    <w:multiLevelType w:val="hybridMultilevel"/>
    <w:tmpl w:val="84D8C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8A6798C"/>
    <w:multiLevelType w:val="hybridMultilevel"/>
    <w:tmpl w:val="5EEA9FEA"/>
    <w:lvl w:ilvl="0" w:tplc="54E2D0E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C817064"/>
    <w:multiLevelType w:val="hybridMultilevel"/>
    <w:tmpl w:val="D6BC91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0967DA2"/>
    <w:multiLevelType w:val="hybridMultilevel"/>
    <w:tmpl w:val="20B4FD6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82865DB"/>
    <w:multiLevelType w:val="hybridMultilevel"/>
    <w:tmpl w:val="BABE7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E118B4"/>
    <w:multiLevelType w:val="hybridMultilevel"/>
    <w:tmpl w:val="BE78A8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352DAF"/>
    <w:multiLevelType w:val="hybridMultilevel"/>
    <w:tmpl w:val="E45299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1D3125"/>
    <w:multiLevelType w:val="hybridMultilevel"/>
    <w:tmpl w:val="8876B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D9198A"/>
    <w:multiLevelType w:val="hybridMultilevel"/>
    <w:tmpl w:val="DF7885A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3D5A24"/>
    <w:multiLevelType w:val="hybridMultilevel"/>
    <w:tmpl w:val="E1AAC4C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94D1C60"/>
    <w:multiLevelType w:val="hybridMultilevel"/>
    <w:tmpl w:val="B0425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B9A764B"/>
    <w:multiLevelType w:val="hybridMultilevel"/>
    <w:tmpl w:val="9F0CF9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DB07F3D"/>
    <w:multiLevelType w:val="hybridMultilevel"/>
    <w:tmpl w:val="385A4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DBA7FB3"/>
    <w:multiLevelType w:val="hybridMultilevel"/>
    <w:tmpl w:val="752C75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F2E30E7"/>
    <w:multiLevelType w:val="hybridMultilevel"/>
    <w:tmpl w:val="D2EEB0A6"/>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0985F55"/>
    <w:multiLevelType w:val="hybridMultilevel"/>
    <w:tmpl w:val="6FE289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60F30513"/>
    <w:multiLevelType w:val="hybridMultilevel"/>
    <w:tmpl w:val="C2A85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5E6C7A"/>
    <w:multiLevelType w:val="hybridMultilevel"/>
    <w:tmpl w:val="79FC1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A055E8"/>
    <w:multiLevelType w:val="hybridMultilevel"/>
    <w:tmpl w:val="EEACF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821CB4"/>
    <w:multiLevelType w:val="hybridMultilevel"/>
    <w:tmpl w:val="97C62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7E5D71"/>
    <w:multiLevelType w:val="hybridMultilevel"/>
    <w:tmpl w:val="08EA3FD2"/>
    <w:lvl w:ilvl="0" w:tplc="D586F3F8">
      <w:start w:val="1"/>
      <w:numFmt w:val="bullet"/>
      <w:pStyle w:val="ListBullet"/>
      <w:lvlText w:val=""/>
      <w:lvlJc w:val="left"/>
      <w:pPr>
        <w:ind w:left="504" w:hanging="360"/>
      </w:pPr>
      <w:rPr>
        <w:rFonts w:ascii="Symbol" w:hAnsi="Symbol" w:hint="default"/>
        <w:color w:val="081422" w:themeColor="background2" w:themeShade="1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AF02C7"/>
    <w:multiLevelType w:val="hybridMultilevel"/>
    <w:tmpl w:val="F6D63204"/>
    <w:lvl w:ilvl="0" w:tplc="37286EB0">
      <w:start w:val="1"/>
      <w:numFmt w:val="decimal"/>
      <w:lvlText w:val="%1."/>
      <w:lvlJc w:val="left"/>
      <w:pPr>
        <w:ind w:left="720" w:hanging="360"/>
      </w:pPr>
      <w:rPr>
        <w:rFonts w:hint="default"/>
        <w:color w:val="153156" w:themeColor="background2" w:themeShade="40"/>
        <w:u w:color="FFFFFF" w:themeColor="background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83A4F61"/>
    <w:multiLevelType w:val="hybridMultilevel"/>
    <w:tmpl w:val="3864E1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F82D45"/>
    <w:multiLevelType w:val="hybridMultilevel"/>
    <w:tmpl w:val="C6E01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DE1BCD"/>
    <w:multiLevelType w:val="hybridMultilevel"/>
    <w:tmpl w:val="78026E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E4A6368"/>
    <w:multiLevelType w:val="hybridMultilevel"/>
    <w:tmpl w:val="635E8E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01F1845"/>
    <w:multiLevelType w:val="hybridMultilevel"/>
    <w:tmpl w:val="0E24BD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3A4F12"/>
    <w:multiLevelType w:val="hybridMultilevel"/>
    <w:tmpl w:val="4F04A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96B9C"/>
    <w:multiLevelType w:val="hybridMultilevel"/>
    <w:tmpl w:val="01E86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EAD0801"/>
    <w:multiLevelType w:val="hybridMultilevel"/>
    <w:tmpl w:val="95E89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F1E7AAC"/>
    <w:multiLevelType w:val="hybridMultilevel"/>
    <w:tmpl w:val="B544A68A"/>
    <w:lvl w:ilvl="0" w:tplc="80DE474E">
      <w:numFmt w:val="bullet"/>
      <w:lvlText w:val=""/>
      <w:lvlJc w:val="left"/>
      <w:pPr>
        <w:ind w:left="820" w:hanging="360"/>
      </w:pPr>
      <w:rPr>
        <w:rFonts w:ascii="Symbol" w:eastAsia="Symbol" w:hAnsi="Symbol" w:cs="Symbol" w:hint="default"/>
        <w:w w:val="100"/>
        <w:sz w:val="24"/>
        <w:szCs w:val="24"/>
      </w:rPr>
    </w:lvl>
    <w:lvl w:ilvl="1" w:tplc="E1367E8E">
      <w:numFmt w:val="bullet"/>
      <w:lvlText w:val="•"/>
      <w:lvlJc w:val="left"/>
      <w:pPr>
        <w:ind w:left="1682" w:hanging="360"/>
      </w:pPr>
      <w:rPr>
        <w:rFonts w:hint="default"/>
      </w:rPr>
    </w:lvl>
    <w:lvl w:ilvl="2" w:tplc="9D7E6E62">
      <w:numFmt w:val="bullet"/>
      <w:lvlText w:val="•"/>
      <w:lvlJc w:val="left"/>
      <w:pPr>
        <w:ind w:left="2544" w:hanging="360"/>
      </w:pPr>
      <w:rPr>
        <w:rFonts w:hint="default"/>
      </w:rPr>
    </w:lvl>
    <w:lvl w:ilvl="3" w:tplc="19506EB4">
      <w:numFmt w:val="bullet"/>
      <w:lvlText w:val="•"/>
      <w:lvlJc w:val="left"/>
      <w:pPr>
        <w:ind w:left="3406" w:hanging="360"/>
      </w:pPr>
      <w:rPr>
        <w:rFonts w:hint="default"/>
      </w:rPr>
    </w:lvl>
    <w:lvl w:ilvl="4" w:tplc="4F70FB60">
      <w:numFmt w:val="bullet"/>
      <w:lvlText w:val="•"/>
      <w:lvlJc w:val="left"/>
      <w:pPr>
        <w:ind w:left="4268" w:hanging="360"/>
      </w:pPr>
      <w:rPr>
        <w:rFonts w:hint="default"/>
      </w:rPr>
    </w:lvl>
    <w:lvl w:ilvl="5" w:tplc="5506304C">
      <w:numFmt w:val="bullet"/>
      <w:lvlText w:val="•"/>
      <w:lvlJc w:val="left"/>
      <w:pPr>
        <w:ind w:left="5130" w:hanging="360"/>
      </w:pPr>
      <w:rPr>
        <w:rFonts w:hint="default"/>
      </w:rPr>
    </w:lvl>
    <w:lvl w:ilvl="6" w:tplc="4A9EE470">
      <w:numFmt w:val="bullet"/>
      <w:lvlText w:val="•"/>
      <w:lvlJc w:val="left"/>
      <w:pPr>
        <w:ind w:left="5992" w:hanging="360"/>
      </w:pPr>
      <w:rPr>
        <w:rFonts w:hint="default"/>
      </w:rPr>
    </w:lvl>
    <w:lvl w:ilvl="7" w:tplc="1D6ADA94">
      <w:numFmt w:val="bullet"/>
      <w:lvlText w:val="•"/>
      <w:lvlJc w:val="left"/>
      <w:pPr>
        <w:ind w:left="6854" w:hanging="360"/>
      </w:pPr>
      <w:rPr>
        <w:rFonts w:hint="default"/>
      </w:rPr>
    </w:lvl>
    <w:lvl w:ilvl="8" w:tplc="E280EC62">
      <w:numFmt w:val="bullet"/>
      <w:lvlText w:val="•"/>
      <w:lvlJc w:val="left"/>
      <w:pPr>
        <w:ind w:left="7716" w:hanging="360"/>
      </w:pPr>
      <w:rPr>
        <w:rFonts w:hint="default"/>
      </w:rPr>
    </w:lvl>
  </w:abstractNum>
  <w:num w:numId="1">
    <w:abstractNumId w:val="0"/>
  </w:num>
  <w:num w:numId="2">
    <w:abstractNumId w:val="36"/>
  </w:num>
  <w:num w:numId="3">
    <w:abstractNumId w:val="36"/>
    <w:lvlOverride w:ilvl="0">
      <w:startOverride w:val="1"/>
    </w:lvlOverride>
  </w:num>
  <w:num w:numId="4">
    <w:abstractNumId w:val="43"/>
  </w:num>
  <w:num w:numId="5">
    <w:abstractNumId w:val="28"/>
  </w:num>
  <w:num w:numId="6">
    <w:abstractNumId w:val="35"/>
  </w:num>
  <w:num w:numId="7">
    <w:abstractNumId w:val="12"/>
  </w:num>
  <w:num w:numId="8">
    <w:abstractNumId w:val="21"/>
  </w:num>
  <w:num w:numId="9">
    <w:abstractNumId w:val="33"/>
  </w:num>
  <w:num w:numId="10">
    <w:abstractNumId w:val="32"/>
  </w:num>
  <w:num w:numId="11">
    <w:abstractNumId w:val="3"/>
  </w:num>
  <w:num w:numId="12">
    <w:abstractNumId w:val="27"/>
  </w:num>
  <w:num w:numId="13">
    <w:abstractNumId w:val="2"/>
  </w:num>
  <w:num w:numId="14">
    <w:abstractNumId w:val="42"/>
  </w:num>
  <w:num w:numId="15">
    <w:abstractNumId w:val="24"/>
  </w:num>
  <w:num w:numId="16">
    <w:abstractNumId w:val="18"/>
  </w:num>
  <w:num w:numId="17">
    <w:abstractNumId w:val="23"/>
  </w:num>
  <w:num w:numId="18">
    <w:abstractNumId w:val="5"/>
  </w:num>
  <w:num w:numId="19">
    <w:abstractNumId w:val="15"/>
  </w:num>
  <w:num w:numId="20">
    <w:abstractNumId w:val="20"/>
  </w:num>
  <w:num w:numId="21">
    <w:abstractNumId w:val="9"/>
  </w:num>
  <w:num w:numId="22">
    <w:abstractNumId w:val="39"/>
  </w:num>
  <w:num w:numId="23">
    <w:abstractNumId w:val="17"/>
  </w:num>
  <w:num w:numId="24">
    <w:abstractNumId w:val="45"/>
  </w:num>
  <w:num w:numId="25">
    <w:abstractNumId w:val="14"/>
  </w:num>
  <w:num w:numId="26">
    <w:abstractNumId w:val="29"/>
  </w:num>
  <w:num w:numId="27">
    <w:abstractNumId w:val="44"/>
  </w:num>
  <w:num w:numId="28">
    <w:abstractNumId w:val="16"/>
  </w:num>
  <w:num w:numId="29">
    <w:abstractNumId w:val="13"/>
  </w:num>
  <w:num w:numId="30">
    <w:abstractNumId w:val="46"/>
  </w:num>
  <w:num w:numId="31">
    <w:abstractNumId w:val="1"/>
  </w:num>
  <w:num w:numId="32">
    <w:abstractNumId w:val="37"/>
  </w:num>
  <w:num w:numId="33">
    <w:abstractNumId w:val="4"/>
  </w:num>
  <w:num w:numId="34">
    <w:abstractNumId w:val="19"/>
  </w:num>
  <w:num w:numId="35">
    <w:abstractNumId w:val="26"/>
  </w:num>
  <w:num w:numId="36">
    <w:abstractNumId w:val="38"/>
  </w:num>
  <w:num w:numId="37">
    <w:abstractNumId w:val="6"/>
  </w:num>
  <w:num w:numId="38">
    <w:abstractNumId w:val="25"/>
  </w:num>
  <w:num w:numId="39">
    <w:abstractNumId w:val="40"/>
  </w:num>
  <w:num w:numId="40">
    <w:abstractNumId w:val="7"/>
  </w:num>
  <w:num w:numId="41">
    <w:abstractNumId w:val="31"/>
  </w:num>
  <w:num w:numId="42">
    <w:abstractNumId w:val="8"/>
  </w:num>
  <w:num w:numId="43">
    <w:abstractNumId w:val="41"/>
  </w:num>
  <w:num w:numId="44">
    <w:abstractNumId w:val="30"/>
  </w:num>
  <w:num w:numId="45">
    <w:abstractNumId w:val="34"/>
  </w:num>
  <w:num w:numId="46">
    <w:abstractNumId w:val="22"/>
  </w:num>
  <w:num w:numId="47">
    <w:abstractNumId w:val="11"/>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EBE"/>
    <w:rsid w:val="00007887"/>
    <w:rsid w:val="0001378B"/>
    <w:rsid w:val="00014FA1"/>
    <w:rsid w:val="000160F4"/>
    <w:rsid w:val="000162C8"/>
    <w:rsid w:val="00032F5D"/>
    <w:rsid w:val="00033CD6"/>
    <w:rsid w:val="00062E3E"/>
    <w:rsid w:val="00083931"/>
    <w:rsid w:val="0009565A"/>
    <w:rsid w:val="00096168"/>
    <w:rsid w:val="000966CE"/>
    <w:rsid w:val="000A035E"/>
    <w:rsid w:val="000E51BA"/>
    <w:rsid w:val="0010006A"/>
    <w:rsid w:val="00103DBC"/>
    <w:rsid w:val="00112D4A"/>
    <w:rsid w:val="001168C0"/>
    <w:rsid w:val="00154031"/>
    <w:rsid w:val="00180F84"/>
    <w:rsid w:val="0018288A"/>
    <w:rsid w:val="00196761"/>
    <w:rsid w:val="001B3867"/>
    <w:rsid w:val="001B5314"/>
    <w:rsid w:val="0020177C"/>
    <w:rsid w:val="00245FA3"/>
    <w:rsid w:val="0025689F"/>
    <w:rsid w:val="0026476C"/>
    <w:rsid w:val="00281739"/>
    <w:rsid w:val="0029223D"/>
    <w:rsid w:val="002C4235"/>
    <w:rsid w:val="002D14F2"/>
    <w:rsid w:val="002F1BB5"/>
    <w:rsid w:val="003328C8"/>
    <w:rsid w:val="003411D8"/>
    <w:rsid w:val="003439E8"/>
    <w:rsid w:val="00347EBE"/>
    <w:rsid w:val="00356603"/>
    <w:rsid w:val="00392BB4"/>
    <w:rsid w:val="003A5AAF"/>
    <w:rsid w:val="003D0540"/>
    <w:rsid w:val="003D5F75"/>
    <w:rsid w:val="0042685F"/>
    <w:rsid w:val="004667B3"/>
    <w:rsid w:val="00474E9A"/>
    <w:rsid w:val="00492A4E"/>
    <w:rsid w:val="004D7031"/>
    <w:rsid w:val="004E05E7"/>
    <w:rsid w:val="004F6D5A"/>
    <w:rsid w:val="00537CCA"/>
    <w:rsid w:val="005538F4"/>
    <w:rsid w:val="005B1976"/>
    <w:rsid w:val="005F35B6"/>
    <w:rsid w:val="00613391"/>
    <w:rsid w:val="00615807"/>
    <w:rsid w:val="00631317"/>
    <w:rsid w:val="00631D4D"/>
    <w:rsid w:val="00646404"/>
    <w:rsid w:val="00665F83"/>
    <w:rsid w:val="006718C2"/>
    <w:rsid w:val="006B5881"/>
    <w:rsid w:val="006C6691"/>
    <w:rsid w:val="006E5F0C"/>
    <w:rsid w:val="006F76E8"/>
    <w:rsid w:val="00715120"/>
    <w:rsid w:val="007334DA"/>
    <w:rsid w:val="007440ED"/>
    <w:rsid w:val="00746AF6"/>
    <w:rsid w:val="00754BFA"/>
    <w:rsid w:val="0078105F"/>
    <w:rsid w:val="00784431"/>
    <w:rsid w:val="00791D1B"/>
    <w:rsid w:val="007D6485"/>
    <w:rsid w:val="007E114F"/>
    <w:rsid w:val="007F55DA"/>
    <w:rsid w:val="00807835"/>
    <w:rsid w:val="00837F0F"/>
    <w:rsid w:val="00853C51"/>
    <w:rsid w:val="00872142"/>
    <w:rsid w:val="0089512B"/>
    <w:rsid w:val="00895824"/>
    <w:rsid w:val="008B16D9"/>
    <w:rsid w:val="008C6AA4"/>
    <w:rsid w:val="00904A84"/>
    <w:rsid w:val="009057E8"/>
    <w:rsid w:val="009113B2"/>
    <w:rsid w:val="009262F6"/>
    <w:rsid w:val="00940C28"/>
    <w:rsid w:val="00956C1B"/>
    <w:rsid w:val="00976BFB"/>
    <w:rsid w:val="00990C23"/>
    <w:rsid w:val="009A70D7"/>
    <w:rsid w:val="009B4882"/>
    <w:rsid w:val="00A01BFA"/>
    <w:rsid w:val="00A50A58"/>
    <w:rsid w:val="00A85CAB"/>
    <w:rsid w:val="00A95A66"/>
    <w:rsid w:val="00AB724D"/>
    <w:rsid w:val="00AC0E97"/>
    <w:rsid w:val="00AD1E5A"/>
    <w:rsid w:val="00AD4B8D"/>
    <w:rsid w:val="00AD7F3B"/>
    <w:rsid w:val="00AE0F6C"/>
    <w:rsid w:val="00AE5279"/>
    <w:rsid w:val="00B17D56"/>
    <w:rsid w:val="00B325E2"/>
    <w:rsid w:val="00B33BBD"/>
    <w:rsid w:val="00B45EF1"/>
    <w:rsid w:val="00B50861"/>
    <w:rsid w:val="00B565A2"/>
    <w:rsid w:val="00B75DC8"/>
    <w:rsid w:val="00BB7C99"/>
    <w:rsid w:val="00BC3467"/>
    <w:rsid w:val="00BD1383"/>
    <w:rsid w:val="00C1074F"/>
    <w:rsid w:val="00C318EC"/>
    <w:rsid w:val="00C53AE9"/>
    <w:rsid w:val="00C55449"/>
    <w:rsid w:val="00C807B2"/>
    <w:rsid w:val="00C81D83"/>
    <w:rsid w:val="00C96EF5"/>
    <w:rsid w:val="00CA2966"/>
    <w:rsid w:val="00CA469D"/>
    <w:rsid w:val="00CB7368"/>
    <w:rsid w:val="00CC33FF"/>
    <w:rsid w:val="00CD072C"/>
    <w:rsid w:val="00CF3B89"/>
    <w:rsid w:val="00D022E5"/>
    <w:rsid w:val="00D368AE"/>
    <w:rsid w:val="00D550CF"/>
    <w:rsid w:val="00D57C33"/>
    <w:rsid w:val="00D96187"/>
    <w:rsid w:val="00DC2220"/>
    <w:rsid w:val="00DD56D6"/>
    <w:rsid w:val="00DE08A1"/>
    <w:rsid w:val="00DE1415"/>
    <w:rsid w:val="00DE52FA"/>
    <w:rsid w:val="00DF27A6"/>
    <w:rsid w:val="00E80235"/>
    <w:rsid w:val="00EB2D92"/>
    <w:rsid w:val="00EC4660"/>
    <w:rsid w:val="00ED18BD"/>
    <w:rsid w:val="00ED76D3"/>
    <w:rsid w:val="00EE766D"/>
    <w:rsid w:val="00F144BF"/>
    <w:rsid w:val="00F174FF"/>
    <w:rsid w:val="00F3077F"/>
    <w:rsid w:val="00F548FB"/>
    <w:rsid w:val="00F559D9"/>
    <w:rsid w:val="00F775BF"/>
    <w:rsid w:val="00F814F1"/>
    <w:rsid w:val="00F94617"/>
    <w:rsid w:val="00F94D3A"/>
    <w:rsid w:val="00FA5BEA"/>
    <w:rsid w:val="00FB4A46"/>
    <w:rsid w:val="00FC72DE"/>
    <w:rsid w:val="00FE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48E1F6B9-3E26-4091-AB36-867C9E85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C5C5C" w:themeColor="text1" w:themeTint="BF"/>
        <w:sz w:val="18"/>
        <w:szCs w:val="18"/>
        <w:lang w:val="en-US" w:eastAsia="ja-JP" w:bidi="ar-SA"/>
      </w:rPr>
    </w:rPrDefault>
    <w:pPrDefault>
      <w:pPr>
        <w:spacing w:after="18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12"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3CD6"/>
    <w:rPr>
      <w:rFonts w:ascii="Calibri" w:hAnsi="Calibri"/>
      <w:color w:val="3B3B3B" w:themeColor="text1" w:themeTint="E6"/>
      <w:sz w:val="24"/>
    </w:rPr>
  </w:style>
  <w:style w:type="paragraph" w:styleId="Heading1">
    <w:name w:val="heading 1"/>
    <w:basedOn w:val="Normal"/>
    <w:next w:val="Normal"/>
    <w:link w:val="Heading1Char"/>
    <w:uiPriority w:val="9"/>
    <w:qFormat/>
    <w:rsid w:val="00CA469D"/>
    <w:pPr>
      <w:keepNext/>
      <w:keepLines/>
      <w:spacing w:before="600" w:after="240" w:line="240" w:lineRule="auto"/>
      <w:outlineLvl w:val="0"/>
    </w:pPr>
    <w:rPr>
      <w:b/>
      <w:bCs/>
      <w:caps/>
      <w:color w:val="0E3354"/>
      <w:sz w:val="28"/>
      <w:szCs w:val="28"/>
    </w:rPr>
  </w:style>
  <w:style w:type="paragraph" w:styleId="Heading2">
    <w:name w:val="heading 2"/>
    <w:basedOn w:val="Normal"/>
    <w:next w:val="Normal"/>
    <w:link w:val="Heading2Char"/>
    <w:uiPriority w:val="9"/>
    <w:unhideWhenUsed/>
    <w:qFormat/>
    <w:rsid w:val="00B565A2"/>
    <w:pPr>
      <w:keepNext/>
      <w:keepLines/>
      <w:spacing w:before="360" w:after="120" w:line="240" w:lineRule="auto"/>
      <w:outlineLvl w:val="1"/>
    </w:pPr>
    <w:rPr>
      <w:bCs/>
      <w:color w:val="2B63AC" w:themeColor="background2" w:themeShade="80"/>
      <w:sz w:val="28"/>
      <w:szCs w:val="24"/>
    </w:rPr>
  </w:style>
  <w:style w:type="paragraph" w:styleId="Heading3">
    <w:name w:val="heading 3"/>
    <w:basedOn w:val="Normal"/>
    <w:next w:val="Normal"/>
    <w:link w:val="Heading3Char"/>
    <w:uiPriority w:val="9"/>
    <w:unhideWhenUsed/>
    <w:qFormat/>
    <w:rsid w:val="00033CD6"/>
    <w:pPr>
      <w:keepNext/>
      <w:keepLines/>
      <w:spacing w:before="240" w:after="0"/>
      <w:outlineLvl w:val="2"/>
    </w:pPr>
    <w:rPr>
      <w:rFonts w:eastAsiaTheme="majorEastAsia" w:cstheme="majorBidi"/>
      <w:b/>
      <w:color w:val="464646" w:themeColor="text1" w:themeTint="D9"/>
      <w:szCs w:val="24"/>
    </w:rPr>
  </w:style>
  <w:style w:type="paragraph" w:styleId="Heading4">
    <w:name w:val="heading 4"/>
    <w:basedOn w:val="Normal"/>
    <w:next w:val="Normal"/>
    <w:link w:val="Heading4Char"/>
    <w:uiPriority w:val="9"/>
    <w:unhideWhenUsed/>
    <w:qFormat/>
    <w:rsid w:val="00033CD6"/>
    <w:pPr>
      <w:keepNext/>
      <w:keepLines/>
      <w:spacing w:before="120" w:after="0"/>
      <w:outlineLvl w:val="3"/>
    </w:pPr>
    <w:rPr>
      <w:rFonts w:eastAsiaTheme="majorEastAsia" w:cstheme="majorBidi"/>
      <w:iCs/>
      <w:color w:val="2B63AC" w:themeColor="background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15807"/>
    <w:pPr>
      <w:pBdr>
        <w:left w:val="double" w:sz="18" w:space="4" w:color="153156" w:themeColor="background2" w:themeShade="40"/>
      </w:pBdr>
      <w:spacing w:after="0" w:line="240" w:lineRule="auto"/>
    </w:pPr>
    <w:rPr>
      <w:rFonts w:ascii="Cambria" w:eastAsiaTheme="majorEastAsia" w:hAnsi="Cambria" w:cstheme="majorBidi"/>
      <w:b/>
      <w:color w:val="0E3354"/>
      <w:kern w:val="28"/>
      <w:sz w:val="52"/>
      <w:szCs w:val="38"/>
    </w:rPr>
  </w:style>
  <w:style w:type="character" w:customStyle="1" w:styleId="TitleChar">
    <w:name w:val="Title Char"/>
    <w:basedOn w:val="DefaultParagraphFont"/>
    <w:link w:val="Title"/>
    <w:uiPriority w:val="10"/>
    <w:rsid w:val="00615807"/>
    <w:rPr>
      <w:rFonts w:ascii="Cambria" w:eastAsiaTheme="majorEastAsia" w:hAnsi="Cambria" w:cstheme="majorBidi"/>
      <w:b/>
      <w:color w:val="0E3354"/>
      <w:kern w:val="28"/>
      <w:sz w:val="52"/>
      <w:szCs w:val="3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15807"/>
    <w:pPr>
      <w:numPr>
        <w:ilvl w:val="1"/>
      </w:numPr>
      <w:pBdr>
        <w:left w:val="double" w:sz="18" w:space="4" w:color="153156" w:themeColor="background2" w:themeShade="40"/>
      </w:pBdr>
      <w:spacing w:before="80" w:after="120" w:line="280" w:lineRule="exact"/>
    </w:pPr>
    <w:rPr>
      <w:bCs/>
      <w:color w:val="2B63AC" w:themeColor="background2" w:themeShade="80"/>
      <w:sz w:val="32"/>
      <w:szCs w:val="24"/>
    </w:rPr>
  </w:style>
  <w:style w:type="character" w:customStyle="1" w:styleId="SubtitleChar">
    <w:name w:val="Subtitle Char"/>
    <w:basedOn w:val="DefaultParagraphFont"/>
    <w:link w:val="Subtitle"/>
    <w:uiPriority w:val="11"/>
    <w:rsid w:val="00615807"/>
    <w:rPr>
      <w:rFonts w:ascii="Calibri" w:hAnsi="Calibri"/>
      <w:bCs/>
      <w:color w:val="2B63AC" w:themeColor="background2" w:themeShade="80"/>
      <w:sz w:val="32"/>
      <w:szCs w:val="24"/>
    </w:rPr>
  </w:style>
  <w:style w:type="character" w:customStyle="1" w:styleId="Heading1Char">
    <w:name w:val="Heading 1 Char"/>
    <w:basedOn w:val="DefaultParagraphFont"/>
    <w:link w:val="Heading1"/>
    <w:uiPriority w:val="9"/>
    <w:rsid w:val="00CA469D"/>
    <w:rPr>
      <w:rFonts w:ascii="Open Sans" w:hAnsi="Open Sans"/>
      <w:b/>
      <w:bCs/>
      <w:caps/>
      <w:color w:val="0E3354"/>
      <w:sz w:val="28"/>
      <w:szCs w:val="28"/>
    </w:rPr>
  </w:style>
  <w:style w:type="table" w:customStyle="1" w:styleId="TipTable">
    <w:name w:val="Tip Table"/>
    <w:basedOn w:val="TableNormal"/>
    <w:uiPriority w:val="99"/>
    <w:pPr>
      <w:spacing w:after="0" w:line="240" w:lineRule="auto"/>
    </w:pPr>
    <w:tblPr>
      <w:tblCellMar>
        <w:top w:w="144" w:type="dxa"/>
        <w:left w:w="0" w:type="dxa"/>
        <w:right w:w="0" w:type="dxa"/>
      </w:tblCellMar>
    </w:tblPr>
    <w:tcPr>
      <w:shd w:val="clear" w:color="auto" w:fill="FFF2CC" w:themeFill="accent1" w:themeFillTint="33"/>
    </w:tcPr>
    <w:tblStylePr w:type="firstCol">
      <w:pPr>
        <w:wordWrap/>
        <w:jc w:val="center"/>
      </w:pPr>
    </w:tblStylePr>
  </w:style>
  <w:style w:type="paragraph" w:customStyle="1" w:styleId="Note">
    <w:name w:val="Note"/>
    <w:basedOn w:val="Normal"/>
    <w:uiPriority w:val="99"/>
    <w:qFormat/>
    <w:rsid w:val="00EC4660"/>
    <w:pPr>
      <w:shd w:val="clear" w:color="auto" w:fill="FFF2CC" w:themeFill="accent1" w:themeFillTint="33"/>
      <w:spacing w:after="120" w:line="264" w:lineRule="auto"/>
    </w:pPr>
    <w:rPr>
      <w:i/>
      <w:iCs/>
      <w:color w:val="262626" w:themeColor="text1"/>
      <w:szCs w:val="16"/>
    </w:rPr>
  </w:style>
  <w:style w:type="character" w:styleId="PlaceholderText">
    <w:name w:val="Placeholder Text"/>
    <w:basedOn w:val="DefaultParagraphFont"/>
    <w:uiPriority w:val="99"/>
    <w:semiHidden/>
    <w:rPr>
      <w:color w:val="808080"/>
    </w:rPr>
  </w:style>
  <w:style w:type="paragraph" w:styleId="NoSpacing">
    <w:name w:val="No Spacing"/>
    <w:link w:val="NoSpacingChar"/>
    <w:uiPriority w:val="1"/>
    <w:qFormat/>
    <w:rsid w:val="00033CD6"/>
    <w:pPr>
      <w:spacing w:after="0" w:line="240" w:lineRule="auto"/>
    </w:pPr>
    <w:rPr>
      <w:rFonts w:ascii="Calibri" w:hAnsi="Calibri"/>
      <w:color w:val="3B3B3B" w:themeColor="text1" w:themeTint="E6"/>
      <w:sz w:val="24"/>
    </w:rPr>
  </w:style>
  <w:style w:type="character" w:customStyle="1" w:styleId="Heading2Char">
    <w:name w:val="Heading 2 Char"/>
    <w:basedOn w:val="DefaultParagraphFont"/>
    <w:link w:val="Heading2"/>
    <w:uiPriority w:val="9"/>
    <w:rsid w:val="00B565A2"/>
    <w:rPr>
      <w:rFonts w:ascii="Open Sans" w:hAnsi="Open Sans"/>
      <w:bCs/>
      <w:color w:val="2B63AC" w:themeColor="background2" w:themeShade="80"/>
      <w:sz w:val="28"/>
      <w:szCs w:val="24"/>
    </w:rPr>
  </w:style>
  <w:style w:type="paragraph" w:styleId="ListBullet">
    <w:name w:val="List Bullet"/>
    <w:basedOn w:val="Normal"/>
    <w:uiPriority w:val="1"/>
    <w:unhideWhenUsed/>
    <w:qFormat/>
    <w:rsid w:val="00033CD6"/>
    <w:pPr>
      <w:numPr>
        <w:numId w:val="2"/>
      </w:numPr>
      <w:spacing w:after="60"/>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before="200" w:after="0" w:line="240" w:lineRule="auto"/>
      <w:contextualSpacing/>
      <w:jc w:val="right"/>
    </w:pPr>
    <w:rPr>
      <w:rFonts w:asciiTheme="majorHAnsi" w:eastAsiaTheme="majorEastAsia" w:hAnsiTheme="majorHAnsi" w:cstheme="majorBidi"/>
      <w:noProof/>
      <w:color w:val="806000" w:themeColor="accent1" w:themeShade="80"/>
      <w:sz w:val="20"/>
      <w:szCs w:val="20"/>
    </w:rPr>
  </w:style>
  <w:style w:type="character" w:customStyle="1" w:styleId="FooterChar">
    <w:name w:val="Footer Char"/>
    <w:basedOn w:val="DefaultParagraphFont"/>
    <w:link w:val="Footer"/>
    <w:uiPriority w:val="99"/>
    <w:rPr>
      <w:rFonts w:asciiTheme="majorHAnsi" w:eastAsiaTheme="majorEastAsia" w:hAnsiTheme="majorHAnsi" w:cstheme="majorBidi"/>
      <w:noProof/>
      <w:color w:val="806000" w:themeColor="accent1" w:themeShade="80"/>
      <w:sz w:val="20"/>
      <w:szCs w:val="20"/>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FFD966" w:themeColor="accent1" w:themeTint="99"/>
        <w:left w:val="single" w:sz="4" w:space="0" w:color="FFD966" w:themeColor="accent1" w:themeTint="99"/>
        <w:bottom w:val="single" w:sz="4" w:space="0" w:color="FFD966" w:themeColor="accent1" w:themeTint="99"/>
        <w:right w:val="single" w:sz="4" w:space="0" w:color="FFD966" w:themeColor="accent1" w:themeTint="99"/>
        <w:insideH w:val="single" w:sz="4" w:space="0" w:color="FFD966" w:themeColor="accent1" w:themeTint="99"/>
        <w:insideV w:val="single" w:sz="4" w:space="0" w:color="FFD966" w:themeColor="accent1" w:themeTint="99"/>
      </w:tblBorders>
      <w:tblCellMar>
        <w:top w:w="29" w:type="dxa"/>
        <w:bottom w:w="29" w:type="dxa"/>
      </w:tblCellMar>
    </w:tblPr>
    <w:tblStylePr w:type="firstRow">
      <w:rPr>
        <w:b/>
        <w:bCs/>
        <w:color w:val="FFFFFF" w:themeColor="background1"/>
      </w:rPr>
      <w:tblPr/>
      <w:tcPr>
        <w:tcBorders>
          <w:top w:val="single" w:sz="4" w:space="0" w:color="FFC000" w:themeColor="accent1"/>
          <w:left w:val="single" w:sz="4" w:space="0" w:color="FFC000" w:themeColor="accent1"/>
          <w:bottom w:val="single" w:sz="4" w:space="0" w:color="FFC000" w:themeColor="accent1"/>
          <w:right w:val="single" w:sz="4" w:space="0" w:color="FFC000" w:themeColor="accent1"/>
          <w:insideH w:val="nil"/>
          <w:insideV w:val="nil"/>
        </w:tcBorders>
        <w:shd w:val="clear" w:color="auto" w:fill="FFC000" w:themeFill="accent1"/>
      </w:tcPr>
    </w:tblStylePr>
    <w:tblStylePr w:type="lastRow">
      <w:rPr>
        <w:b/>
        <w:bCs/>
      </w:rPr>
      <w:tblPr/>
      <w:tcPr>
        <w:tcBorders>
          <w:top w:val="double" w:sz="4" w:space="0" w:color="FFC000" w:themeColor="accent1"/>
        </w:tcBorders>
      </w:tcPr>
    </w:tblStylePr>
    <w:tblStylePr w:type="firstCol">
      <w:rPr>
        <w:b/>
        <w:bCs/>
      </w:rPr>
    </w:tblStylePr>
    <w:tblStylePr w:type="lastCol">
      <w:rPr>
        <w:b/>
        <w:bCs/>
      </w:rPr>
    </w:tblStylePr>
    <w:tblStylePr w:type="band1Vert">
      <w:tblPr/>
      <w:tcPr>
        <w:shd w:val="clear" w:color="auto" w:fill="FFF2CC" w:themeFill="accent1" w:themeFillTint="33"/>
      </w:tcPr>
    </w:tblStylePr>
    <w:tblStylePr w:type="band1Horz">
      <w:tblPr/>
      <w:tcPr>
        <w:shd w:val="clear" w:color="auto" w:fill="FFF2CC" w:themeFill="accent1" w:themeFillTint="33"/>
      </w:tcPr>
    </w:tblStylePr>
  </w:style>
  <w:style w:type="table" w:styleId="TableGridLight">
    <w:name w:val="Grid Table Light"/>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roposalTable">
    <w:name w:val="Proposal Table"/>
    <w:basedOn w:val="TableNormal"/>
    <w:uiPriority w:val="99"/>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paragraph" w:styleId="FootnoteText">
    <w:name w:val="footnote text"/>
    <w:basedOn w:val="Normal"/>
    <w:link w:val="FootnoteTextChar"/>
    <w:uiPriority w:val="12"/>
    <w:unhideWhenUsed/>
    <w:qFormat/>
    <w:rsid w:val="00033CD6"/>
    <w:pPr>
      <w:spacing w:before="140" w:after="0" w:line="240" w:lineRule="auto"/>
    </w:pPr>
    <w:rPr>
      <w:iCs/>
      <w:sz w:val="18"/>
      <w:szCs w:val="14"/>
    </w:rPr>
  </w:style>
  <w:style w:type="character" w:customStyle="1" w:styleId="FootnoteTextChar">
    <w:name w:val="Footnote Text Char"/>
    <w:basedOn w:val="DefaultParagraphFont"/>
    <w:link w:val="FootnoteText"/>
    <w:uiPriority w:val="12"/>
    <w:rsid w:val="00033CD6"/>
    <w:rPr>
      <w:rFonts w:ascii="Calibri" w:hAnsi="Calibri"/>
      <w:iCs/>
      <w:color w:val="3B3B3B" w:themeColor="text1" w:themeTint="E6"/>
      <w:szCs w:val="14"/>
    </w:rPr>
  </w:style>
  <w:style w:type="paragraph" w:customStyle="1" w:styleId="TableTextDecimal">
    <w:name w:val="Table Text Decimal"/>
    <w:basedOn w:val="Normal"/>
    <w:uiPriority w:val="12"/>
    <w:qFormat/>
    <w:pPr>
      <w:tabs>
        <w:tab w:val="decimal" w:pos="936"/>
      </w:tabs>
      <w:spacing w:before="120" w:after="120" w:line="240" w:lineRule="auto"/>
    </w:pPr>
  </w:style>
  <w:style w:type="paragraph" w:styleId="Signature">
    <w:name w:val="Signature"/>
    <w:basedOn w:val="Normal"/>
    <w:link w:val="SignatureChar"/>
    <w:uiPriority w:val="12"/>
    <w:unhideWhenUsed/>
    <w:qFormat/>
    <w:pPr>
      <w:spacing w:before="960" w:after="0" w:line="240" w:lineRule="auto"/>
    </w:pPr>
  </w:style>
  <w:style w:type="character" w:customStyle="1" w:styleId="SignatureChar">
    <w:name w:val="Signature Char"/>
    <w:basedOn w:val="DefaultParagraphFont"/>
    <w:link w:val="Signature"/>
    <w:uiPriority w:val="12"/>
  </w:style>
  <w:style w:type="paragraph" w:styleId="ListParagraph">
    <w:name w:val="List Paragraph"/>
    <w:aliases w:val="Number List"/>
    <w:basedOn w:val="Normal"/>
    <w:uiPriority w:val="34"/>
    <w:qFormat/>
    <w:rsid w:val="00033CD6"/>
    <w:pPr>
      <w:numPr>
        <w:numId w:val="11"/>
      </w:numPr>
      <w:spacing w:after="200" w:line="276" w:lineRule="auto"/>
      <w:contextualSpacing/>
    </w:pPr>
    <w:rPr>
      <w:color w:val="auto"/>
      <w:szCs w:val="22"/>
      <w:lang w:eastAsia="en-US"/>
    </w:rPr>
  </w:style>
  <w:style w:type="paragraph" w:styleId="BodyText">
    <w:name w:val="Body Text"/>
    <w:basedOn w:val="Normal"/>
    <w:link w:val="BodyTextChar"/>
    <w:uiPriority w:val="1"/>
    <w:qFormat/>
    <w:rsid w:val="00033CD6"/>
    <w:pPr>
      <w:widowControl w:val="0"/>
      <w:autoSpaceDE w:val="0"/>
      <w:autoSpaceDN w:val="0"/>
      <w:spacing w:after="0" w:line="240" w:lineRule="auto"/>
    </w:pPr>
    <w:rPr>
      <w:rFonts w:eastAsia="Arial" w:cs="Arial"/>
      <w:color w:val="auto"/>
      <w:szCs w:val="24"/>
      <w:lang w:eastAsia="en-US"/>
    </w:rPr>
  </w:style>
  <w:style w:type="character" w:customStyle="1" w:styleId="BodyTextChar">
    <w:name w:val="Body Text Char"/>
    <w:basedOn w:val="DefaultParagraphFont"/>
    <w:link w:val="BodyText"/>
    <w:uiPriority w:val="1"/>
    <w:rsid w:val="00033CD6"/>
    <w:rPr>
      <w:rFonts w:ascii="Calibri" w:eastAsia="Arial" w:hAnsi="Calibri" w:cs="Arial"/>
      <w:color w:val="auto"/>
      <w:sz w:val="24"/>
      <w:szCs w:val="24"/>
      <w:lang w:eastAsia="en-US"/>
    </w:rPr>
  </w:style>
  <w:style w:type="character" w:customStyle="1" w:styleId="Heading3Char">
    <w:name w:val="Heading 3 Char"/>
    <w:basedOn w:val="DefaultParagraphFont"/>
    <w:link w:val="Heading3"/>
    <w:uiPriority w:val="9"/>
    <w:rsid w:val="00033CD6"/>
    <w:rPr>
      <w:rFonts w:ascii="Calibri" w:eastAsiaTheme="majorEastAsia" w:hAnsi="Calibri" w:cstheme="majorBidi"/>
      <w:b/>
      <w:color w:val="464646" w:themeColor="text1" w:themeTint="D9"/>
      <w:sz w:val="24"/>
      <w:szCs w:val="24"/>
    </w:rPr>
  </w:style>
  <w:style w:type="paragraph" w:styleId="BalloonText">
    <w:name w:val="Balloon Text"/>
    <w:basedOn w:val="Normal"/>
    <w:link w:val="BalloonTextChar"/>
    <w:uiPriority w:val="99"/>
    <w:semiHidden/>
    <w:unhideWhenUsed/>
    <w:rsid w:val="004E05E7"/>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E05E7"/>
    <w:rPr>
      <w:rFonts w:ascii="Segoe UI" w:hAnsi="Segoe UI" w:cs="Segoe UI"/>
    </w:rPr>
  </w:style>
  <w:style w:type="character" w:styleId="Hyperlink">
    <w:name w:val="Hyperlink"/>
    <w:basedOn w:val="DefaultParagraphFont"/>
    <w:uiPriority w:val="99"/>
    <w:unhideWhenUsed/>
    <w:rsid w:val="00C318EC"/>
    <w:rPr>
      <w:color w:val="2B63AC" w:themeColor="background2" w:themeShade="80"/>
      <w:u w:val="single"/>
    </w:rPr>
  </w:style>
  <w:style w:type="character" w:customStyle="1" w:styleId="NoSpacingChar">
    <w:name w:val="No Spacing Char"/>
    <w:basedOn w:val="DefaultParagraphFont"/>
    <w:link w:val="NoSpacing"/>
    <w:uiPriority w:val="1"/>
    <w:rsid w:val="00033CD6"/>
    <w:rPr>
      <w:rFonts w:ascii="Calibri" w:hAnsi="Calibri"/>
      <w:color w:val="3B3B3B" w:themeColor="text1" w:themeTint="E6"/>
      <w:sz w:val="24"/>
    </w:rPr>
  </w:style>
  <w:style w:type="paragraph" w:styleId="PlainText">
    <w:name w:val="Plain Text"/>
    <w:basedOn w:val="Normal"/>
    <w:link w:val="PlainTextChar"/>
    <w:uiPriority w:val="99"/>
    <w:unhideWhenUsed/>
    <w:rsid w:val="00FC72DE"/>
    <w:pPr>
      <w:spacing w:after="0" w:line="240" w:lineRule="auto"/>
    </w:pPr>
    <w:rPr>
      <w:rFonts w:eastAsia="Calibri" w:cs="Times New Roman"/>
      <w:szCs w:val="21"/>
      <w:lang w:eastAsia="en-US"/>
    </w:rPr>
  </w:style>
  <w:style w:type="character" w:customStyle="1" w:styleId="PlainTextChar">
    <w:name w:val="Plain Text Char"/>
    <w:basedOn w:val="DefaultParagraphFont"/>
    <w:link w:val="PlainText"/>
    <w:uiPriority w:val="99"/>
    <w:rsid w:val="00FC72DE"/>
    <w:rPr>
      <w:rFonts w:ascii="Open Sans" w:eastAsia="Calibri" w:hAnsi="Open Sans" w:cs="Times New Roman"/>
      <w:sz w:val="22"/>
      <w:szCs w:val="21"/>
      <w:lang w:eastAsia="en-US"/>
    </w:rPr>
  </w:style>
  <w:style w:type="paragraph" w:customStyle="1" w:styleId="Important">
    <w:name w:val="Important"/>
    <w:basedOn w:val="Normal"/>
    <w:link w:val="ImportantChar"/>
    <w:qFormat/>
    <w:rsid w:val="00154031"/>
    <w:pPr>
      <w:shd w:val="clear" w:color="auto" w:fill="FFCCCC" w:themeFill="accent2" w:themeFillTint="33"/>
      <w:spacing w:before="120" w:after="120" w:line="240" w:lineRule="auto"/>
    </w:pPr>
    <w:rPr>
      <w:i/>
      <w:color w:val="262626" w:themeColor="text1"/>
    </w:rPr>
  </w:style>
  <w:style w:type="character" w:styleId="Strong">
    <w:name w:val="Strong"/>
    <w:uiPriority w:val="22"/>
    <w:qFormat/>
    <w:rsid w:val="00FC72DE"/>
    <w:rPr>
      <w:b/>
      <w:bCs/>
    </w:rPr>
  </w:style>
  <w:style w:type="paragraph" w:styleId="NormalWeb">
    <w:name w:val="Normal (Web)"/>
    <w:basedOn w:val="Normal"/>
    <w:uiPriority w:val="99"/>
    <w:semiHidden/>
    <w:unhideWhenUsed/>
    <w:rsid w:val="00FC72DE"/>
    <w:pPr>
      <w:spacing w:before="100" w:beforeAutospacing="1" w:after="100" w:afterAutospacing="1" w:line="240" w:lineRule="auto"/>
    </w:pPr>
    <w:rPr>
      <w:rFonts w:ascii="Times New Roman" w:eastAsia="Times New Roman" w:hAnsi="Times New Roman" w:cs="Times New Roman"/>
      <w:szCs w:val="24"/>
      <w:lang w:eastAsia="en-US"/>
    </w:rPr>
  </w:style>
  <w:style w:type="paragraph" w:styleId="TOC1">
    <w:name w:val="toc 1"/>
    <w:basedOn w:val="Normal"/>
    <w:next w:val="Normal"/>
    <w:autoRedefine/>
    <w:uiPriority w:val="39"/>
    <w:unhideWhenUsed/>
    <w:qFormat/>
    <w:rsid w:val="00C318EC"/>
    <w:pPr>
      <w:spacing w:after="100" w:line="276" w:lineRule="auto"/>
    </w:pPr>
    <w:rPr>
      <w:rFonts w:ascii="Open Sans SemiBold" w:eastAsiaTheme="minorEastAsia" w:hAnsi="Open Sans SemiBold"/>
      <w:color w:val="717171" w:themeColor="text1" w:themeTint="A6"/>
      <w:szCs w:val="22"/>
    </w:rPr>
  </w:style>
  <w:style w:type="character" w:customStyle="1" w:styleId="Heading4Char">
    <w:name w:val="Heading 4 Char"/>
    <w:basedOn w:val="DefaultParagraphFont"/>
    <w:link w:val="Heading4"/>
    <w:uiPriority w:val="9"/>
    <w:rsid w:val="00033CD6"/>
    <w:rPr>
      <w:rFonts w:ascii="Calibri" w:eastAsiaTheme="majorEastAsia" w:hAnsi="Calibri" w:cstheme="majorBidi"/>
      <w:iCs/>
      <w:color w:val="2B63AC" w:themeColor="background2" w:themeShade="80"/>
      <w:sz w:val="24"/>
    </w:rPr>
  </w:style>
  <w:style w:type="paragraph" w:customStyle="1" w:styleId="Success">
    <w:name w:val="Success"/>
    <w:basedOn w:val="PlainText"/>
    <w:link w:val="SuccessChar"/>
    <w:qFormat/>
    <w:rsid w:val="00154031"/>
    <w:pPr>
      <w:shd w:val="clear" w:color="auto" w:fill="EAF1DD" w:themeFill="accent3" w:themeFillTint="33"/>
      <w:spacing w:before="120" w:after="120"/>
    </w:pPr>
    <w:rPr>
      <w:i/>
      <w:color w:val="262626" w:themeColor="text1"/>
    </w:rPr>
  </w:style>
  <w:style w:type="character" w:customStyle="1" w:styleId="ImportantChar">
    <w:name w:val="Important Char"/>
    <w:basedOn w:val="DefaultParagraphFont"/>
    <w:link w:val="Important"/>
    <w:rsid w:val="00154031"/>
    <w:rPr>
      <w:rFonts w:ascii="Open Sans" w:hAnsi="Open Sans"/>
      <w:i/>
      <w:color w:val="262626" w:themeColor="text1"/>
      <w:sz w:val="22"/>
      <w:shd w:val="clear" w:color="auto" w:fill="FFCCCC" w:themeFill="accent2" w:themeFillTint="33"/>
    </w:rPr>
  </w:style>
  <w:style w:type="paragraph" w:customStyle="1" w:styleId="Special">
    <w:name w:val="Special"/>
    <w:basedOn w:val="Normal"/>
    <w:link w:val="SpecialChar"/>
    <w:qFormat/>
    <w:rsid w:val="00EC4660"/>
    <w:pPr>
      <w:shd w:val="clear" w:color="auto" w:fill="BFD4EF" w:themeFill="text2" w:themeFillTint="33"/>
      <w:spacing w:before="120" w:after="120"/>
    </w:pPr>
    <w:rPr>
      <w:i/>
      <w:color w:val="auto"/>
    </w:rPr>
  </w:style>
  <w:style w:type="character" w:customStyle="1" w:styleId="SuccessChar">
    <w:name w:val="Success Char"/>
    <w:basedOn w:val="PlainTextChar"/>
    <w:link w:val="Success"/>
    <w:rsid w:val="00154031"/>
    <w:rPr>
      <w:rFonts w:ascii="Open Sans" w:eastAsia="Calibri" w:hAnsi="Open Sans" w:cs="Times New Roman"/>
      <w:i/>
      <w:color w:val="262626" w:themeColor="text1"/>
      <w:sz w:val="22"/>
      <w:szCs w:val="21"/>
      <w:shd w:val="clear" w:color="auto" w:fill="EAF1DD" w:themeFill="accent3" w:themeFillTint="33"/>
      <w:lang w:eastAsia="en-US"/>
    </w:rPr>
  </w:style>
  <w:style w:type="character" w:customStyle="1" w:styleId="SpecialChar">
    <w:name w:val="Special Char"/>
    <w:basedOn w:val="DefaultParagraphFont"/>
    <w:link w:val="Special"/>
    <w:rsid w:val="00EC4660"/>
    <w:rPr>
      <w:rFonts w:ascii="Open Sans" w:hAnsi="Open Sans"/>
      <w:i/>
      <w:color w:val="auto"/>
      <w:sz w:val="22"/>
      <w:shd w:val="clear" w:color="auto" w:fill="BFD4EF" w:themeFill="text2" w:themeFillTint="33"/>
    </w:rPr>
  </w:style>
  <w:style w:type="paragraph" w:customStyle="1" w:styleId="TrackChange">
    <w:name w:val="TrackChange"/>
    <w:basedOn w:val="Normal"/>
    <w:link w:val="TrackChangeChar"/>
    <w:rsid w:val="00032F5D"/>
    <w:pPr>
      <w:spacing w:after="0" w:line="240" w:lineRule="auto"/>
    </w:pPr>
    <w:rPr>
      <w:rFonts w:ascii="Times New Roman" w:hAnsi="Times New Roman" w:cs="Times New Roman"/>
      <w:color w:val="FF0000"/>
      <w:szCs w:val="22"/>
      <w:u w:val="single"/>
      <w:lang w:eastAsia="en-US"/>
    </w:rPr>
  </w:style>
  <w:style w:type="character" w:customStyle="1" w:styleId="TrackChangeChar">
    <w:name w:val="TrackChange Char"/>
    <w:basedOn w:val="DefaultParagraphFont"/>
    <w:link w:val="TrackChange"/>
    <w:rsid w:val="00032F5D"/>
    <w:rPr>
      <w:rFonts w:ascii="Times New Roman" w:hAnsi="Times New Roman" w:cs="Times New Roman"/>
      <w:color w:val="FF0000"/>
      <w:sz w:val="24"/>
      <w:szCs w:val="22"/>
      <w:u w:val="single"/>
      <w:lang w:eastAsia="en-US"/>
    </w:rPr>
  </w:style>
  <w:style w:type="character" w:styleId="Emphasis">
    <w:name w:val="Emphasis"/>
    <w:uiPriority w:val="20"/>
    <w:qFormat/>
    <w:rsid w:val="00033CD6"/>
    <w:rPr>
      <w:rFonts w:ascii="Calibri" w:hAnsi="Calibri"/>
      <w:b w:val="0"/>
      <w:i w:val="0"/>
      <w:iCs/>
      <w:caps/>
      <w:smallCaps w:val="0"/>
      <w:sz w:val="16"/>
    </w:rPr>
  </w:style>
  <w:style w:type="paragraph" w:customStyle="1" w:styleId="SectionHeading">
    <w:name w:val="SectionHeading"/>
    <w:basedOn w:val="Title"/>
    <w:link w:val="SectionHeadingChar"/>
    <w:rsid w:val="00032F5D"/>
    <w:pPr>
      <w:numPr>
        <w:numId w:val="31"/>
      </w:numPr>
      <w:pBdr>
        <w:left w:val="none" w:sz="0" w:space="0" w:color="auto"/>
        <w:bottom w:val="single" w:sz="8" w:space="4" w:color="417FD0" w:themeColor="text2" w:themeTint="99"/>
      </w:pBdr>
      <w:shd w:val="clear" w:color="auto" w:fill="112845" w:themeFill="text2" w:themeFillShade="BF"/>
      <w:spacing w:after="300"/>
      <w:contextualSpacing/>
    </w:pPr>
    <w:rPr>
      <w:color w:val="FFFFFF" w:themeColor="background1"/>
      <w:spacing w:val="5"/>
      <w:szCs w:val="52"/>
      <w:lang w:eastAsia="en-US"/>
    </w:rPr>
  </w:style>
  <w:style w:type="character" w:customStyle="1" w:styleId="SectionHeadingChar">
    <w:name w:val="SectionHeading Char"/>
    <w:basedOn w:val="TitleChar"/>
    <w:link w:val="Section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IntenseEmphasis">
    <w:name w:val="Intense Emphasis"/>
    <w:basedOn w:val="DefaultParagraphFont"/>
    <w:uiPriority w:val="21"/>
    <w:qFormat/>
    <w:rsid w:val="00033CD6"/>
    <w:rPr>
      <w:rFonts w:ascii="Calibri" w:hAnsi="Calibri"/>
      <w:b/>
      <w:i w:val="0"/>
      <w:iCs/>
      <w:caps/>
      <w:smallCaps w:val="0"/>
      <w:strike w:val="0"/>
      <w:dstrike w:val="0"/>
      <w:vanish w:val="0"/>
      <w:color w:val="153156" w:themeColor="background2" w:themeShade="40"/>
      <w:sz w:val="24"/>
      <w:vertAlign w:val="baseline"/>
    </w:rPr>
  </w:style>
  <w:style w:type="paragraph" w:customStyle="1" w:styleId="AppendixHeading">
    <w:name w:val="AppendixHeading"/>
    <w:basedOn w:val="SectionHeading"/>
    <w:link w:val="AppendixHeadingChar"/>
    <w:rsid w:val="00032F5D"/>
    <w:pPr>
      <w:numPr>
        <w:numId w:val="33"/>
      </w:numPr>
    </w:pPr>
  </w:style>
  <w:style w:type="character" w:customStyle="1" w:styleId="AppendixHeadingChar">
    <w:name w:val="AppendixHeading Char"/>
    <w:basedOn w:val="SectionHeadingChar"/>
    <w:link w:val="AppendixHeading"/>
    <w:rsid w:val="00032F5D"/>
    <w:rPr>
      <w:rFonts w:ascii="Cambria" w:eastAsiaTheme="majorEastAsia" w:hAnsi="Cambria" w:cstheme="majorBidi"/>
      <w:b/>
      <w:color w:val="FFFFFF" w:themeColor="background1"/>
      <w:spacing w:val="5"/>
      <w:kern w:val="28"/>
      <w:sz w:val="52"/>
      <w:szCs w:val="52"/>
      <w:shd w:val="clear" w:color="auto" w:fill="112845" w:themeFill="text2" w:themeFillShade="BF"/>
      <w:lang w:eastAsia="en-US"/>
    </w:rPr>
  </w:style>
  <w:style w:type="character" w:styleId="SubtleEmphasis">
    <w:name w:val="Subtle Emphasis"/>
    <w:basedOn w:val="DefaultParagraphFont"/>
    <w:uiPriority w:val="19"/>
    <w:qFormat/>
    <w:rsid w:val="00032F5D"/>
    <w:rPr>
      <w:i/>
      <w:iCs/>
      <w:color w:val="153156" w:themeColor="background2" w:themeShade="40"/>
    </w:rPr>
  </w:style>
  <w:style w:type="paragraph" w:styleId="IntenseQuote">
    <w:name w:val="Intense Quote"/>
    <w:basedOn w:val="Normal"/>
    <w:next w:val="Normal"/>
    <w:link w:val="IntenseQuoteChar"/>
    <w:uiPriority w:val="30"/>
    <w:qFormat/>
    <w:rsid w:val="00032F5D"/>
    <w:pPr>
      <w:pBdr>
        <w:top w:val="single" w:sz="4" w:space="10" w:color="2B63AC" w:themeColor="background2" w:themeShade="80"/>
        <w:bottom w:val="single" w:sz="4" w:space="10" w:color="2B63AC" w:themeColor="background2" w:themeShade="80"/>
      </w:pBdr>
      <w:spacing w:before="360" w:after="360"/>
      <w:ind w:left="864" w:right="864"/>
      <w:jc w:val="center"/>
    </w:pPr>
    <w:rPr>
      <w:i/>
      <w:iCs/>
      <w:color w:val="2B63AC" w:themeColor="background2" w:themeShade="80"/>
    </w:rPr>
  </w:style>
  <w:style w:type="character" w:customStyle="1" w:styleId="IntenseQuoteChar">
    <w:name w:val="Intense Quote Char"/>
    <w:basedOn w:val="DefaultParagraphFont"/>
    <w:link w:val="IntenseQuote"/>
    <w:uiPriority w:val="30"/>
    <w:rsid w:val="00032F5D"/>
    <w:rPr>
      <w:rFonts w:ascii="Calibri" w:hAnsi="Calibri"/>
      <w:i/>
      <w:iCs/>
      <w:color w:val="2B63AC" w:themeColor="background2" w:themeShade="80"/>
      <w:sz w:val="24"/>
    </w:rPr>
  </w:style>
  <w:style w:type="character" w:styleId="IntenseReference">
    <w:name w:val="Intense Reference"/>
    <w:basedOn w:val="DefaultParagraphFont"/>
    <w:uiPriority w:val="32"/>
    <w:qFormat/>
    <w:rsid w:val="00032F5D"/>
    <w:rPr>
      <w:b/>
      <w:bCs/>
      <w:smallCaps/>
      <w:color w:val="2B63AC" w:themeColor="background2" w:themeShade="80"/>
      <w:spacing w:val="5"/>
    </w:rPr>
  </w:style>
  <w:style w:type="paragraph" w:styleId="Quote">
    <w:name w:val="Quote"/>
    <w:basedOn w:val="Normal"/>
    <w:next w:val="Normal"/>
    <w:link w:val="QuoteChar"/>
    <w:uiPriority w:val="29"/>
    <w:qFormat/>
    <w:rsid w:val="00032F5D"/>
    <w:pPr>
      <w:spacing w:before="200" w:after="160"/>
      <w:ind w:left="864" w:right="864"/>
      <w:jc w:val="center"/>
    </w:pPr>
    <w:rPr>
      <w:i/>
      <w:iCs/>
      <w:color w:val="2B63AC" w:themeColor="background2" w:themeShade="80"/>
    </w:rPr>
  </w:style>
  <w:style w:type="character" w:customStyle="1" w:styleId="QuoteChar">
    <w:name w:val="Quote Char"/>
    <w:basedOn w:val="DefaultParagraphFont"/>
    <w:link w:val="Quote"/>
    <w:uiPriority w:val="29"/>
    <w:rsid w:val="00032F5D"/>
    <w:rPr>
      <w:rFonts w:ascii="Calibri" w:hAnsi="Calibri"/>
      <w:i/>
      <w:iCs/>
      <w:color w:val="2B63AC" w:themeColor="background2" w:themeShade="80"/>
      <w:sz w:val="24"/>
    </w:rPr>
  </w:style>
  <w:style w:type="character" w:styleId="SubtleReference">
    <w:name w:val="Subtle Reference"/>
    <w:basedOn w:val="DefaultParagraphFont"/>
    <w:uiPriority w:val="31"/>
    <w:qFormat/>
    <w:rsid w:val="00032F5D"/>
    <w:rPr>
      <w:smallCaps/>
      <w:color w:val="727272" w:themeColor="text1" w:themeTint="A5"/>
    </w:rPr>
  </w:style>
  <w:style w:type="paragraph" w:customStyle="1" w:styleId="Contact">
    <w:name w:val="Contact"/>
    <w:basedOn w:val="Normal"/>
    <w:link w:val="ContactChar"/>
    <w:qFormat/>
    <w:rsid w:val="000E51BA"/>
    <w:pPr>
      <w:pBdr>
        <w:top w:val="single" w:sz="4" w:space="1" w:color="auto"/>
      </w:pBdr>
      <w:spacing w:before="840" w:after="0"/>
    </w:pPr>
    <w:rPr>
      <w:b/>
    </w:rPr>
  </w:style>
  <w:style w:type="character" w:customStyle="1" w:styleId="ContactChar">
    <w:name w:val="Contact Char"/>
    <w:basedOn w:val="DefaultParagraphFont"/>
    <w:link w:val="Contact"/>
    <w:rsid w:val="000E51BA"/>
    <w:rPr>
      <w:rFonts w:ascii="Calibri" w:hAnsi="Calibri"/>
      <w:b/>
      <w:color w:val="3B3B3B" w:themeColor="text1" w:themeTint="E6"/>
      <w:sz w:val="24"/>
    </w:rPr>
  </w:style>
  <w:style w:type="character" w:styleId="FootnoteReference">
    <w:name w:val="footnote reference"/>
    <w:basedOn w:val="DefaultParagraphFont"/>
    <w:uiPriority w:val="99"/>
    <w:semiHidden/>
    <w:unhideWhenUsed/>
    <w:rsid w:val="00904A84"/>
    <w:rPr>
      <w:vertAlign w:val="superscript"/>
    </w:rPr>
  </w:style>
  <w:style w:type="table" w:customStyle="1" w:styleId="ProposalTable1">
    <w:name w:val="Proposal Table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
    <w:name w:val="Proposal Table11"/>
    <w:basedOn w:val="TableNormal"/>
    <w:uiPriority w:val="99"/>
    <w:rsid w:val="00904A84"/>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
    <w:name w:val="Proposal Table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
    <w:name w:val="Proposal Table12"/>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
    <w:name w:val="Proposal Table111"/>
    <w:basedOn w:val="TableNormal"/>
    <w:uiPriority w:val="99"/>
    <w:rsid w:val="00DE08A1"/>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3">
    <w:name w:val="Proposal Table3"/>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112">
    <w:name w:val="Proposal Table112"/>
    <w:basedOn w:val="TableNormal"/>
    <w:uiPriority w:val="99"/>
    <w:rsid w:val="007F55DA"/>
    <w:pPr>
      <w:spacing w:before="120" w:after="120" w:line="240" w:lineRule="auto"/>
    </w:pPr>
    <w:tblPr>
      <w:tblBorders>
        <w:top w:val="single" w:sz="4" w:space="0" w:color="FFC000" w:themeColor="accent1"/>
        <w:left w:val="single" w:sz="4" w:space="0" w:color="FFC000" w:themeColor="accent1"/>
        <w:bottom w:val="single" w:sz="4" w:space="0" w:color="FFC000" w:themeColor="accent1"/>
        <w:right w:val="single" w:sz="4" w:space="0" w:color="FFC000" w:themeColor="accent1"/>
        <w:insideH w:val="single" w:sz="4" w:space="0" w:color="FFC000" w:themeColor="accent1"/>
        <w:insideV w:val="single" w:sz="4" w:space="0" w:color="FFC000" w:themeColor="accent1"/>
      </w:tblBorders>
      <w:tblCellMar>
        <w:left w:w="144" w:type="dxa"/>
        <w:right w:w="144" w:type="dxa"/>
      </w:tblCellMar>
    </w:tblPr>
    <w:tblStylePr w:type="firstRow">
      <w:pPr>
        <w:keepNext/>
        <w:wordWrap/>
      </w:pPr>
      <w:rPr>
        <w:b/>
      </w:rPr>
      <w:tblPr/>
      <w:tcPr>
        <w:shd w:val="clear" w:color="auto" w:fill="FFF2CC" w:themeFill="accent1" w:themeFillTint="33"/>
        <w:vAlign w:val="bottom"/>
      </w:tcPr>
    </w:tblStylePr>
    <w:tblStylePr w:type="lastRow">
      <w:rPr>
        <w:b/>
        <w:color w:val="FFFFFF" w:themeColor="background1"/>
      </w:rPr>
      <w:tblPr/>
      <w:tcPr>
        <w:shd w:val="clear" w:color="auto" w:fill="FFC000" w:themeFill="accent1"/>
      </w:tcPr>
    </w:tblStylePr>
  </w:style>
  <w:style w:type="table" w:customStyle="1" w:styleId="ProposalTable21">
    <w:name w:val="Proposal Table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21">
    <w:name w:val="Proposal Table12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table" w:customStyle="1" w:styleId="ProposalTable1111">
    <w:name w:val="Proposal Table1111"/>
    <w:basedOn w:val="TableNormal"/>
    <w:uiPriority w:val="99"/>
    <w:rsid w:val="007F55DA"/>
    <w:pPr>
      <w:spacing w:before="120" w:after="120" w:line="240" w:lineRule="auto"/>
    </w:pPr>
    <w:rPr>
      <w:color w:val="5C5C5C"/>
    </w:rPr>
    <w:tblPr>
      <w:tblBorders>
        <w:top w:val="single" w:sz="4" w:space="0" w:color="FFC000"/>
        <w:left w:val="single" w:sz="4" w:space="0" w:color="FFC000"/>
        <w:bottom w:val="single" w:sz="4" w:space="0" w:color="FFC000"/>
        <w:right w:val="single" w:sz="4" w:space="0" w:color="FFC000"/>
        <w:insideH w:val="single" w:sz="4" w:space="0" w:color="FFC000"/>
        <w:insideV w:val="single" w:sz="4" w:space="0" w:color="FFC000"/>
      </w:tblBorders>
      <w:tblCellMar>
        <w:left w:w="144" w:type="dxa"/>
        <w:right w:w="144" w:type="dxa"/>
      </w:tblCellMar>
    </w:tblPr>
    <w:tblStylePr w:type="firstRow">
      <w:pPr>
        <w:keepNext/>
        <w:wordWrap/>
      </w:pPr>
      <w:rPr>
        <w:b/>
      </w:rPr>
      <w:tblPr/>
      <w:tcPr>
        <w:shd w:val="clear" w:color="auto" w:fill="FFF2CC"/>
        <w:vAlign w:val="bottom"/>
      </w:tcPr>
    </w:tblStylePr>
    <w:tblStylePr w:type="lastRow">
      <w:rPr>
        <w:b/>
        <w:color w:val="FFFFFF"/>
      </w:rPr>
      <w:tblPr/>
      <w:tcPr>
        <w:shd w:val="clear" w:color="auto" w:fill="FFC000"/>
      </w:tcPr>
    </w:tblStylePr>
  </w:style>
  <w:style w:type="character" w:styleId="FollowedHyperlink">
    <w:name w:val="FollowedHyperlink"/>
    <w:basedOn w:val="DefaultParagraphFont"/>
    <w:uiPriority w:val="99"/>
    <w:semiHidden/>
    <w:unhideWhenUsed/>
    <w:rsid w:val="007D6485"/>
    <w:rPr>
      <w:color w:val="E36C0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12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de.idaho.gov/"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te.idaho.gov/wp-content/uploads/2018/06/AG-Welding-Standards.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bolen\AppData\Roaming\Microsoft\Templates\Services%20proposal%20(Business%20Blue%20design).dotx" TargetMode="External"/></Relationships>
</file>

<file path=word/theme/theme1.xml><?xml version="1.0" encoding="utf-8"?>
<a:theme xmlns:a="http://schemas.openxmlformats.org/drawingml/2006/main" name="Office Theme">
  <a:themeElements>
    <a:clrScheme name="SDE Template">
      <a:dk1>
        <a:srgbClr val="262626"/>
      </a:dk1>
      <a:lt1>
        <a:sysClr val="window" lastClr="FFFFFF"/>
      </a:lt1>
      <a:dk2>
        <a:srgbClr val="17365D"/>
      </a:dk2>
      <a:lt2>
        <a:srgbClr val="BFD4EF"/>
      </a:lt2>
      <a:accent1>
        <a:srgbClr val="FFC000"/>
      </a:accent1>
      <a:accent2>
        <a:srgbClr val="FF0000"/>
      </a:accent2>
      <a:accent3>
        <a:srgbClr val="9BBB59"/>
      </a:accent3>
      <a:accent4>
        <a:srgbClr val="8064A2"/>
      </a:accent4>
      <a:accent5>
        <a:srgbClr val="4BACC6"/>
      </a:accent5>
      <a:accent6>
        <a:srgbClr val="F79646"/>
      </a:accent6>
      <a:hlink>
        <a:srgbClr val="2A63AC"/>
      </a:hlink>
      <a:folHlink>
        <a:srgbClr val="E36C09"/>
      </a:folHlink>
    </a:clrScheme>
    <a:fontScheme name="Arial Black-Arial">
      <a:majorFont>
        <a:latin typeface="Arial Black"/>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Arial"/>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DE60E510-BD16-4B02-823E-57408283B450}">
  <ds:schemaRefs>
    <ds:schemaRef ds:uri="http://schemas.microsoft.com/sharepoint/v3/contenttype/forms"/>
  </ds:schemaRefs>
</ds:datastoreItem>
</file>

<file path=customXml/itemProps2.xml><?xml version="1.0" encoding="utf-8"?>
<ds:datastoreItem xmlns:ds="http://schemas.openxmlformats.org/officeDocument/2006/customXml" ds:itemID="{BC81B452-618B-4B53-A516-0932066A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Services proposal (Business Blue design)</Template>
  <TotalTime>0</TotalTime>
  <Pages>29</Pages>
  <Words>3810</Words>
  <Characters>21722</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K-2 Computer Science Evaluation Tool</vt:lpstr>
    </vt:vector>
  </TitlesOfParts>
  <Company>Idaho State Department of Education</Company>
  <LinksUpToDate>false</LinksUpToDate>
  <CharactersWithSpaces>25482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K-2 Computer Science Evaluation Tool</dc:title>
  <dc:subject>Curricular Materials</dc:subject>
  <dc:creator>Elizabeth James</dc:creator>
  <cp:keywords/>
  <cp:lastModifiedBy>Chrystal Allen</cp:lastModifiedBy>
  <cp:revision>2</cp:revision>
  <cp:lastPrinted>2017-06-14T17:22:00Z</cp:lastPrinted>
  <dcterms:created xsi:type="dcterms:W3CDTF">2020-01-31T16:14:00Z</dcterms:created>
  <dcterms:modified xsi:type="dcterms:W3CDTF">2020-01-31T16:14:00Z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TC029118969991</vt:lpwstr>
  </property>
</Properties>
</file>