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CF1E" w14:textId="02A8619C" w:rsidR="008A049F" w:rsidRPr="00164A50" w:rsidRDefault="00A641A3" w:rsidP="009A4025">
      <w:pPr>
        <w:pStyle w:val="Title"/>
        <w:rPr>
          <w:b w:val="0"/>
        </w:rPr>
      </w:pPr>
      <w:r>
        <w:rPr>
          <w:rStyle w:val="Heading1Char"/>
          <w:b/>
        </w:rPr>
        <w:t>Contracting Opportunity</w:t>
      </w:r>
    </w:p>
    <w:p w14:paraId="248EBACB" w14:textId="792521A0" w:rsidR="008A049F" w:rsidRPr="0029223D" w:rsidRDefault="00E361D6" w:rsidP="008A049F">
      <w:pPr>
        <w:pStyle w:val="Subtitle"/>
      </w:pPr>
      <w:r>
        <w:t>Special Education Fiscal Monitoring Contractor</w:t>
      </w:r>
    </w:p>
    <w:p w14:paraId="12A0D232" w14:textId="77777777" w:rsidR="008A049F" w:rsidRDefault="008A049F" w:rsidP="008A049F">
      <w:pPr>
        <w:pStyle w:val="PlainText"/>
        <w:ind w:left="720"/>
      </w:pPr>
    </w:p>
    <w:p w14:paraId="3EAC707A" w14:textId="77777777" w:rsidR="0066385B" w:rsidRPr="00917921" w:rsidRDefault="0066385B" w:rsidP="00C77745">
      <w:pPr>
        <w:pStyle w:val="Heading2"/>
      </w:pPr>
      <w:r>
        <w:t>Purpose</w:t>
      </w:r>
    </w:p>
    <w:p w14:paraId="7863C784" w14:textId="20DCBE93" w:rsidR="0066385B" w:rsidRDefault="001001B9" w:rsidP="001978AF">
      <w:bookmarkStart w:id="0" w:name="_Hlk115184834"/>
      <w:r>
        <w:t xml:space="preserve">The </w:t>
      </w:r>
      <w:r w:rsidR="00BA29F5">
        <w:t xml:space="preserve">Idaho </w:t>
      </w:r>
      <w:r>
        <w:t xml:space="preserve">Department of Education </w:t>
      </w:r>
      <w:r w:rsidR="464D4565">
        <w:t>seeks letters of interest</w:t>
      </w:r>
      <w:r>
        <w:t xml:space="preserve"> </w:t>
      </w:r>
      <w:r w:rsidR="00E361D6">
        <w:t>from businesses or individuals to serve as a Special Education Fiscal Monitor,</w:t>
      </w:r>
      <w:r>
        <w:t xml:space="preserve"> as detailed below</w:t>
      </w:r>
      <w:r w:rsidR="004C6DC1">
        <w:t>.</w:t>
      </w:r>
    </w:p>
    <w:p w14:paraId="2F66CA4A" w14:textId="1AC46667" w:rsidR="001001B9" w:rsidRDefault="001001B9" w:rsidP="001978AF">
      <w:r>
        <w:t xml:space="preserve">The contact for this </w:t>
      </w:r>
      <w:r w:rsidR="00A641A3">
        <w:t>contracting opportunity</w:t>
      </w:r>
      <w:r>
        <w:t xml:space="preserve"> is:</w:t>
      </w:r>
    </w:p>
    <w:p w14:paraId="2519ABA8" w14:textId="767BF799" w:rsidR="001001B9" w:rsidRDefault="001001B9" w:rsidP="00E361D6">
      <w:pPr>
        <w:spacing w:after="0" w:line="240" w:lineRule="auto"/>
      </w:pPr>
      <w:r>
        <w:tab/>
      </w:r>
      <w:r w:rsidR="00E361D6">
        <w:t>Lisa Pofelski-Rosa, Financial Specialist, Principal</w:t>
      </w:r>
    </w:p>
    <w:p w14:paraId="7FD3626D" w14:textId="1ED4ED2E" w:rsidR="001001B9" w:rsidRDefault="001001B9" w:rsidP="00E361D6">
      <w:pPr>
        <w:spacing w:after="0" w:line="240" w:lineRule="auto"/>
      </w:pPr>
      <w:r>
        <w:tab/>
      </w:r>
      <w:r w:rsidR="00E361D6">
        <w:t>208-332-6916</w:t>
      </w:r>
    </w:p>
    <w:p w14:paraId="59190528" w14:textId="7A806199" w:rsidR="001001B9" w:rsidRPr="00C5566D" w:rsidRDefault="001001B9" w:rsidP="00E361D6">
      <w:pPr>
        <w:spacing w:after="0" w:line="240" w:lineRule="auto"/>
      </w:pPr>
      <w:r>
        <w:tab/>
      </w:r>
      <w:r w:rsidR="00E361D6">
        <w:t>lpofelskirosa@sde.idaho.gov</w:t>
      </w:r>
    </w:p>
    <w:bookmarkEnd w:id="0"/>
    <w:p w14:paraId="3D6DA801" w14:textId="76D5AE30" w:rsidR="001001B9" w:rsidRPr="00917921" w:rsidRDefault="001001B9" w:rsidP="001001B9">
      <w:pPr>
        <w:pStyle w:val="Heading2"/>
      </w:pPr>
      <w:r>
        <w:t>Background</w:t>
      </w:r>
    </w:p>
    <w:p w14:paraId="7AD949AA" w14:textId="77777777" w:rsidR="00E361D6" w:rsidRPr="00E361D6" w:rsidRDefault="00E361D6" w:rsidP="00E361D6">
      <w:pPr>
        <w:pStyle w:val="BodyText"/>
        <w:spacing w:before="27" w:line="259" w:lineRule="auto"/>
        <w:ind w:left="0" w:right="220" w:firstLine="0"/>
        <w:rPr>
          <w:rFonts w:cs="Calibri"/>
        </w:rPr>
      </w:pPr>
      <w:bookmarkStart w:id="1" w:name="Purpose_and_Authority"/>
      <w:bookmarkStart w:id="2" w:name="_bookmark5"/>
      <w:bookmarkEnd w:id="1"/>
      <w:bookmarkEnd w:id="2"/>
      <w:r w:rsidRPr="00E361D6">
        <w:rPr>
          <w:rFonts w:cs="Calibri"/>
        </w:rPr>
        <w:t>Annually the U.S. Department of Education awards grants under IDEA to eligible States, the District of Columbia, and other aﬃliated areas. Award amounts are determined established by Congress and its regulations are applied via enforcement from the Idaho Department of Education (IDE.) IDEA Part B formula grants assist states in providing a free appropriate public education (FAPE) in the least restrictive environment (LRE) for children with disabilities ages 3 through 21. The IDE Special Education team is responsible for administering</w:t>
      </w:r>
      <w:r w:rsidRPr="00E361D6">
        <w:rPr>
          <w:rFonts w:cs="Calibri"/>
          <w:spacing w:val="-4"/>
        </w:rPr>
        <w:t xml:space="preserve"> </w:t>
      </w:r>
      <w:r w:rsidRPr="00E361D6">
        <w:rPr>
          <w:rFonts w:cs="Calibri"/>
        </w:rPr>
        <w:t>those</w:t>
      </w:r>
      <w:r w:rsidRPr="00E361D6">
        <w:rPr>
          <w:rFonts w:cs="Calibri"/>
          <w:spacing w:val="-4"/>
        </w:rPr>
        <w:t xml:space="preserve"> </w:t>
      </w:r>
      <w:r w:rsidRPr="00E361D6">
        <w:rPr>
          <w:rFonts w:cs="Calibri"/>
        </w:rPr>
        <w:t>grants.</w:t>
      </w:r>
      <w:r w:rsidRPr="00E361D6">
        <w:rPr>
          <w:rFonts w:cs="Calibri"/>
          <w:spacing w:val="-4"/>
        </w:rPr>
        <w:t xml:space="preserve"> </w:t>
      </w:r>
      <w:r w:rsidRPr="00E361D6">
        <w:rPr>
          <w:rFonts w:cs="Calibri"/>
        </w:rPr>
        <w:t>That</w:t>
      </w:r>
      <w:r w:rsidRPr="00E361D6">
        <w:rPr>
          <w:rFonts w:cs="Calibri"/>
          <w:spacing w:val="-4"/>
        </w:rPr>
        <w:t xml:space="preserve"> </w:t>
      </w:r>
      <w:r w:rsidRPr="00E361D6">
        <w:rPr>
          <w:rFonts w:cs="Calibri"/>
        </w:rPr>
        <w:t>administrative</w:t>
      </w:r>
      <w:r w:rsidRPr="00E361D6">
        <w:rPr>
          <w:rFonts w:cs="Calibri"/>
          <w:spacing w:val="-4"/>
        </w:rPr>
        <w:t xml:space="preserve"> </w:t>
      </w:r>
      <w:r w:rsidRPr="00E361D6">
        <w:rPr>
          <w:rFonts w:cs="Calibri"/>
        </w:rPr>
        <w:t>responsibility</w:t>
      </w:r>
      <w:r w:rsidRPr="00E361D6">
        <w:rPr>
          <w:rFonts w:cs="Calibri"/>
          <w:spacing w:val="-3"/>
        </w:rPr>
        <w:t xml:space="preserve"> </w:t>
      </w:r>
      <w:r w:rsidRPr="00E361D6">
        <w:rPr>
          <w:rFonts w:cs="Calibri"/>
        </w:rPr>
        <w:t>includes</w:t>
      </w:r>
      <w:r w:rsidRPr="00E361D6">
        <w:rPr>
          <w:rFonts w:cs="Calibri"/>
          <w:spacing w:val="-4"/>
        </w:rPr>
        <w:t xml:space="preserve"> </w:t>
      </w:r>
      <w:r w:rsidRPr="00E361D6">
        <w:rPr>
          <w:rFonts w:cs="Calibri"/>
        </w:rPr>
        <w:t>the</w:t>
      </w:r>
      <w:r w:rsidRPr="00E361D6">
        <w:rPr>
          <w:rFonts w:cs="Calibri"/>
          <w:spacing w:val="-6"/>
        </w:rPr>
        <w:t xml:space="preserve"> </w:t>
      </w:r>
      <w:r w:rsidRPr="00E361D6">
        <w:rPr>
          <w:rFonts w:cs="Calibri"/>
        </w:rPr>
        <w:t>general</w:t>
      </w:r>
      <w:r w:rsidRPr="00E361D6">
        <w:rPr>
          <w:rFonts w:cs="Calibri"/>
          <w:spacing w:val="-4"/>
        </w:rPr>
        <w:t xml:space="preserve"> </w:t>
      </w:r>
      <w:r w:rsidRPr="00E361D6">
        <w:rPr>
          <w:rFonts w:cs="Calibri"/>
        </w:rPr>
        <w:t>supervision</w:t>
      </w:r>
      <w:r w:rsidRPr="00E361D6">
        <w:rPr>
          <w:rFonts w:cs="Calibri"/>
          <w:spacing w:val="-4"/>
        </w:rPr>
        <w:t xml:space="preserve"> </w:t>
      </w:r>
      <w:r w:rsidRPr="00E361D6">
        <w:rPr>
          <w:rFonts w:cs="Calibri"/>
        </w:rPr>
        <w:t>requirements of IDEA, as well as program and fiscal monitoring of subrecipients required by federal and state statutes and regulations.</w:t>
      </w:r>
    </w:p>
    <w:p w14:paraId="7CEBF285" w14:textId="77777777" w:rsidR="00E361D6" w:rsidRPr="00E361D6" w:rsidRDefault="00E361D6" w:rsidP="00E361D6">
      <w:pPr>
        <w:pStyle w:val="BodyText"/>
        <w:tabs>
          <w:tab w:val="left" w:pos="0"/>
        </w:tabs>
        <w:spacing w:before="159" w:line="259" w:lineRule="auto"/>
        <w:ind w:left="0" w:right="158" w:firstLine="0"/>
        <w:rPr>
          <w:rFonts w:cs="Calibri"/>
        </w:rPr>
      </w:pPr>
      <w:r w:rsidRPr="00E361D6">
        <w:rPr>
          <w:rFonts w:cs="Calibri"/>
        </w:rPr>
        <w:t xml:space="preserve">As the pass-through agency, IDE is responsible for monitoring the activities of its subrecipients to ensure that IDEA Part B program is eﬀectively implemented and funds are used for authorized purposes in accordance with federal statutes, regulations, and the terms and conditions of the subaward </w:t>
      </w:r>
      <w:hyperlink r:id="rId9" w:anchor="300.600">
        <w:r w:rsidRPr="00E361D6">
          <w:rPr>
            <w:rFonts w:cs="Calibri"/>
          </w:rPr>
          <w:t>(</w:t>
        </w:r>
        <w:r w:rsidRPr="00E361D6">
          <w:rPr>
            <w:rFonts w:cs="Calibri"/>
            <w:color w:val="0562C1"/>
            <w:u w:val="single" w:color="0562C1"/>
          </w:rPr>
          <w:t>34 CFR § 300.60</w:t>
        </w:r>
        <w:r w:rsidRPr="00E361D6">
          <w:rPr>
            <w:rFonts w:cs="Calibri"/>
            <w:color w:val="0562C1"/>
          </w:rPr>
          <w:t>0</w:t>
        </w:r>
      </w:hyperlink>
      <w:r w:rsidRPr="00E361D6">
        <w:rPr>
          <w:rFonts w:cs="Calibri"/>
          <w:color w:val="0562C1"/>
        </w:rPr>
        <w:t xml:space="preserve"> </w:t>
      </w:r>
      <w:r w:rsidRPr="00E361D6">
        <w:rPr>
          <w:rFonts w:cs="Calibri"/>
        </w:rPr>
        <w:t>and</w:t>
      </w:r>
      <w:r w:rsidRPr="00E361D6">
        <w:rPr>
          <w:rFonts w:cs="Calibri"/>
          <w:spacing w:val="-5"/>
        </w:rPr>
        <w:t xml:space="preserve"> </w:t>
      </w:r>
      <w:hyperlink r:id="rId10" w:anchor="200.332">
        <w:r w:rsidRPr="00E361D6">
          <w:rPr>
            <w:rFonts w:cs="Calibri"/>
            <w:color w:val="0562C1"/>
            <w:u w:val="single" w:color="0562C1"/>
          </w:rPr>
          <w:t>2 CFR § 200.332</w:t>
        </w:r>
      </w:hyperlink>
      <w:r w:rsidRPr="00E361D6">
        <w:rPr>
          <w:rFonts w:cs="Calibri"/>
        </w:rPr>
        <w:t>).</w:t>
      </w:r>
      <w:r w:rsidRPr="00E361D6">
        <w:rPr>
          <w:rFonts w:cs="Calibri"/>
          <w:spacing w:val="-1"/>
        </w:rPr>
        <w:t xml:space="preserve">   </w:t>
      </w:r>
      <w:r w:rsidRPr="00E361D6">
        <w:rPr>
          <w:rFonts w:cs="Calibri"/>
        </w:rPr>
        <w:t>The</w:t>
      </w:r>
      <w:r w:rsidRPr="00E361D6">
        <w:rPr>
          <w:rFonts w:cs="Calibri"/>
          <w:spacing w:val="-2"/>
        </w:rPr>
        <w:t xml:space="preserve"> </w:t>
      </w:r>
      <w:r w:rsidRPr="00E361D6">
        <w:rPr>
          <w:rFonts w:cs="Calibri"/>
        </w:rPr>
        <w:t>federal</w:t>
      </w:r>
      <w:r w:rsidRPr="00E361D6">
        <w:rPr>
          <w:rFonts w:cs="Calibri"/>
          <w:spacing w:val="-2"/>
        </w:rPr>
        <w:t xml:space="preserve"> </w:t>
      </w:r>
      <w:r w:rsidRPr="00E361D6">
        <w:rPr>
          <w:rFonts w:cs="Calibri"/>
        </w:rPr>
        <w:t>regulatory</w:t>
      </w:r>
      <w:r w:rsidRPr="00E361D6">
        <w:rPr>
          <w:rFonts w:cs="Calibri"/>
          <w:spacing w:val="-1"/>
        </w:rPr>
        <w:t xml:space="preserve"> </w:t>
      </w:r>
      <w:r w:rsidRPr="00E361D6">
        <w:rPr>
          <w:rFonts w:cs="Calibri"/>
        </w:rPr>
        <w:t>provisions</w:t>
      </w:r>
      <w:r w:rsidRPr="00E361D6">
        <w:rPr>
          <w:rFonts w:cs="Calibri"/>
          <w:spacing w:val="-2"/>
        </w:rPr>
        <w:t xml:space="preserve"> </w:t>
      </w:r>
      <w:r w:rsidRPr="00E361D6">
        <w:rPr>
          <w:rFonts w:cs="Calibri"/>
        </w:rPr>
        <w:t>under</w:t>
      </w:r>
      <w:r w:rsidRPr="00E361D6">
        <w:rPr>
          <w:rFonts w:cs="Calibri"/>
          <w:spacing w:val="-4"/>
        </w:rPr>
        <w:t xml:space="preserve"> </w:t>
      </w:r>
      <w:r w:rsidRPr="00E361D6">
        <w:rPr>
          <w:rFonts w:cs="Calibri"/>
        </w:rPr>
        <w:t>which</w:t>
      </w:r>
      <w:r w:rsidRPr="00E361D6">
        <w:rPr>
          <w:rFonts w:cs="Calibri"/>
          <w:spacing w:val="-2"/>
        </w:rPr>
        <w:t xml:space="preserve"> </w:t>
      </w:r>
      <w:r w:rsidRPr="00E361D6">
        <w:rPr>
          <w:rFonts w:cs="Calibri"/>
        </w:rPr>
        <w:t>the</w:t>
      </w:r>
      <w:r w:rsidRPr="00E361D6">
        <w:rPr>
          <w:rFonts w:cs="Calibri"/>
          <w:spacing w:val="-4"/>
        </w:rPr>
        <w:t xml:space="preserve"> </w:t>
      </w:r>
      <w:r w:rsidRPr="00E361D6">
        <w:rPr>
          <w:rFonts w:cs="Calibri"/>
        </w:rPr>
        <w:t>IDE</w:t>
      </w:r>
      <w:r w:rsidRPr="00E361D6">
        <w:rPr>
          <w:rFonts w:cs="Calibri"/>
          <w:spacing w:val="-3"/>
        </w:rPr>
        <w:t xml:space="preserve"> </w:t>
      </w:r>
      <w:r w:rsidRPr="00E361D6">
        <w:rPr>
          <w:rFonts w:cs="Calibri"/>
        </w:rPr>
        <w:t>Special</w:t>
      </w:r>
      <w:r w:rsidRPr="00E361D6">
        <w:rPr>
          <w:rFonts w:cs="Calibri"/>
          <w:spacing w:val="-5"/>
        </w:rPr>
        <w:t xml:space="preserve"> </w:t>
      </w:r>
      <w:r w:rsidRPr="00E361D6">
        <w:rPr>
          <w:rFonts w:cs="Calibri"/>
        </w:rPr>
        <w:t>Education</w:t>
      </w:r>
      <w:r w:rsidRPr="00E361D6">
        <w:rPr>
          <w:rFonts w:cs="Calibri"/>
          <w:spacing w:val="-2"/>
        </w:rPr>
        <w:t xml:space="preserve"> </w:t>
      </w:r>
      <w:r w:rsidRPr="00E361D6">
        <w:rPr>
          <w:rFonts w:cs="Calibri"/>
        </w:rPr>
        <w:t>team</w:t>
      </w:r>
      <w:r w:rsidRPr="00E361D6">
        <w:rPr>
          <w:rFonts w:cs="Calibri"/>
          <w:spacing w:val="-2"/>
        </w:rPr>
        <w:t xml:space="preserve"> </w:t>
      </w:r>
      <w:r w:rsidRPr="00E361D6">
        <w:rPr>
          <w:rFonts w:cs="Calibri"/>
        </w:rPr>
        <w:t>monitors</w:t>
      </w:r>
      <w:r w:rsidRPr="00E361D6">
        <w:rPr>
          <w:rFonts w:cs="Calibri"/>
          <w:spacing w:val="-2"/>
        </w:rPr>
        <w:t xml:space="preserve"> </w:t>
      </w:r>
      <w:r w:rsidRPr="00E361D6">
        <w:rPr>
          <w:rFonts w:cs="Calibri"/>
        </w:rPr>
        <w:t>for</w:t>
      </w:r>
      <w:r w:rsidRPr="00E361D6">
        <w:rPr>
          <w:rFonts w:cs="Calibri"/>
          <w:spacing w:val="-2"/>
        </w:rPr>
        <w:t xml:space="preserve"> </w:t>
      </w:r>
      <w:r w:rsidRPr="00E361D6">
        <w:rPr>
          <w:rFonts w:cs="Calibri"/>
        </w:rPr>
        <w:t>fiscal accountability and compliance are:</w:t>
      </w:r>
    </w:p>
    <w:p w14:paraId="02C3CA96" w14:textId="501DC876" w:rsidR="00E361D6" w:rsidRPr="00E361D6" w:rsidRDefault="00E361D6" w:rsidP="00E361D6">
      <w:pPr>
        <w:pStyle w:val="ListParagraph"/>
        <w:widowControl w:val="0"/>
        <w:numPr>
          <w:ilvl w:val="0"/>
          <w:numId w:val="31"/>
        </w:numPr>
        <w:tabs>
          <w:tab w:val="left" w:pos="820"/>
          <w:tab w:val="left" w:pos="821"/>
        </w:tabs>
        <w:autoSpaceDE w:val="0"/>
        <w:autoSpaceDN w:val="0"/>
        <w:spacing w:before="214" w:after="0" w:line="240" w:lineRule="auto"/>
        <w:contextualSpacing w:val="0"/>
        <w:rPr>
          <w:rFonts w:cs="Calibri"/>
          <w:szCs w:val="24"/>
        </w:rPr>
      </w:pPr>
      <w:r w:rsidRPr="00E361D6">
        <w:rPr>
          <w:rFonts w:cs="Calibri"/>
          <w:szCs w:val="24"/>
        </w:rPr>
        <w:t>31.</w:t>
      </w:r>
      <w:r w:rsidRPr="00E361D6">
        <w:rPr>
          <w:rFonts w:cs="Calibri"/>
          <w:spacing w:val="-7"/>
          <w:szCs w:val="24"/>
        </w:rPr>
        <w:t xml:space="preserve"> </w:t>
      </w:r>
      <w:r w:rsidRPr="00E361D6">
        <w:rPr>
          <w:rFonts w:cs="Calibri"/>
          <w:szCs w:val="24"/>
        </w:rPr>
        <w:t>U.S.C.</w:t>
      </w:r>
      <w:r w:rsidRPr="00E361D6">
        <w:rPr>
          <w:rFonts w:cs="Calibri"/>
          <w:spacing w:val="-9"/>
          <w:szCs w:val="24"/>
        </w:rPr>
        <w:t xml:space="preserve"> </w:t>
      </w:r>
      <w:r w:rsidRPr="00E361D6">
        <w:rPr>
          <w:rFonts w:cs="Calibri"/>
          <w:szCs w:val="24"/>
        </w:rPr>
        <w:t>7501-7507</w:t>
      </w:r>
      <w:r w:rsidRPr="00E361D6">
        <w:rPr>
          <w:rFonts w:cs="Calibri"/>
          <w:spacing w:val="-6"/>
          <w:szCs w:val="24"/>
        </w:rPr>
        <w:t xml:space="preserve"> </w:t>
      </w:r>
      <w:r w:rsidRPr="00E361D6">
        <w:rPr>
          <w:rFonts w:cs="Calibri"/>
          <w:szCs w:val="24"/>
        </w:rPr>
        <w:t>Single</w:t>
      </w:r>
      <w:r w:rsidRPr="00E361D6">
        <w:rPr>
          <w:rFonts w:cs="Calibri"/>
          <w:spacing w:val="-7"/>
          <w:szCs w:val="24"/>
        </w:rPr>
        <w:t xml:space="preserve"> </w:t>
      </w:r>
      <w:r w:rsidRPr="00E361D6">
        <w:rPr>
          <w:rFonts w:cs="Calibri"/>
          <w:szCs w:val="24"/>
        </w:rPr>
        <w:t>Audit</w:t>
      </w:r>
      <w:r w:rsidRPr="00E361D6">
        <w:rPr>
          <w:rFonts w:cs="Calibri"/>
          <w:spacing w:val="-5"/>
          <w:szCs w:val="24"/>
        </w:rPr>
        <w:t xml:space="preserve"> </w:t>
      </w:r>
      <w:r w:rsidRPr="00E361D6">
        <w:rPr>
          <w:rFonts w:cs="Calibri"/>
          <w:szCs w:val="24"/>
        </w:rPr>
        <w:t>Act</w:t>
      </w:r>
      <w:r w:rsidRPr="00E361D6">
        <w:rPr>
          <w:rFonts w:cs="Calibri"/>
          <w:spacing w:val="-5"/>
          <w:szCs w:val="24"/>
        </w:rPr>
        <w:t xml:space="preserve"> </w:t>
      </w:r>
      <w:r w:rsidRPr="00E361D6">
        <w:rPr>
          <w:rFonts w:cs="Calibri"/>
          <w:szCs w:val="24"/>
        </w:rPr>
        <w:t>Amendments</w:t>
      </w:r>
      <w:r w:rsidRPr="00E361D6">
        <w:rPr>
          <w:rFonts w:cs="Calibri"/>
          <w:spacing w:val="-8"/>
          <w:szCs w:val="24"/>
        </w:rPr>
        <w:t xml:space="preserve"> </w:t>
      </w:r>
      <w:r w:rsidRPr="00E361D6">
        <w:rPr>
          <w:rFonts w:cs="Calibri"/>
          <w:szCs w:val="24"/>
        </w:rPr>
        <w:t>of</w:t>
      </w:r>
      <w:r w:rsidRPr="00E361D6">
        <w:rPr>
          <w:rFonts w:cs="Calibri"/>
          <w:spacing w:val="-11"/>
          <w:szCs w:val="24"/>
        </w:rPr>
        <w:t xml:space="preserve"> </w:t>
      </w:r>
      <w:r w:rsidRPr="00E361D6">
        <w:rPr>
          <w:rFonts w:cs="Calibri"/>
          <w:spacing w:val="-4"/>
          <w:szCs w:val="24"/>
        </w:rPr>
        <w:t>1996</w:t>
      </w:r>
      <w:r w:rsidR="00E05134">
        <w:rPr>
          <w:rFonts w:cs="Calibri"/>
          <w:spacing w:val="-4"/>
          <w:szCs w:val="24"/>
        </w:rPr>
        <w:t xml:space="preserve"> </w:t>
      </w:r>
    </w:p>
    <w:p w14:paraId="2C3F901F" w14:textId="77777777" w:rsidR="00E361D6" w:rsidRPr="00E361D6" w:rsidRDefault="00E361D6" w:rsidP="00E361D6">
      <w:pPr>
        <w:pStyle w:val="ListParagraph"/>
        <w:widowControl w:val="0"/>
        <w:numPr>
          <w:ilvl w:val="0"/>
          <w:numId w:val="31"/>
        </w:numPr>
        <w:tabs>
          <w:tab w:val="left" w:pos="820"/>
          <w:tab w:val="left" w:pos="821"/>
        </w:tabs>
        <w:autoSpaceDE w:val="0"/>
        <w:autoSpaceDN w:val="0"/>
        <w:spacing w:after="0" w:line="240" w:lineRule="auto"/>
        <w:ind w:right="232"/>
        <w:contextualSpacing w:val="0"/>
        <w:rPr>
          <w:rFonts w:cs="Calibri"/>
          <w:szCs w:val="24"/>
        </w:rPr>
      </w:pPr>
      <w:r w:rsidRPr="00E361D6">
        <w:rPr>
          <w:rFonts w:cs="Calibri"/>
          <w:szCs w:val="24"/>
        </w:rPr>
        <w:t>2</w:t>
      </w:r>
      <w:r w:rsidRPr="00E361D6">
        <w:rPr>
          <w:rFonts w:cs="Calibri"/>
          <w:spacing w:val="-1"/>
          <w:szCs w:val="24"/>
        </w:rPr>
        <w:t xml:space="preserve"> </w:t>
      </w:r>
      <w:r w:rsidRPr="00E361D6">
        <w:rPr>
          <w:rFonts w:cs="Calibri"/>
          <w:szCs w:val="24"/>
        </w:rPr>
        <w:t>CFR</w:t>
      </w:r>
      <w:r w:rsidRPr="00E361D6">
        <w:rPr>
          <w:rFonts w:cs="Calibri"/>
          <w:spacing w:val="-4"/>
          <w:szCs w:val="24"/>
        </w:rPr>
        <w:t xml:space="preserve"> </w:t>
      </w:r>
      <w:r w:rsidRPr="00E361D6">
        <w:rPr>
          <w:rFonts w:cs="Calibri"/>
          <w:szCs w:val="24"/>
        </w:rPr>
        <w:t>Part</w:t>
      </w:r>
      <w:r w:rsidRPr="00E361D6">
        <w:rPr>
          <w:rFonts w:cs="Calibri"/>
          <w:spacing w:val="-4"/>
          <w:szCs w:val="24"/>
        </w:rPr>
        <w:t xml:space="preserve"> </w:t>
      </w:r>
      <w:r w:rsidRPr="00E361D6">
        <w:rPr>
          <w:rFonts w:cs="Calibri"/>
          <w:szCs w:val="24"/>
        </w:rPr>
        <w:t>200</w:t>
      </w:r>
      <w:r w:rsidRPr="00E361D6">
        <w:rPr>
          <w:rFonts w:cs="Calibri"/>
          <w:spacing w:val="-1"/>
          <w:szCs w:val="24"/>
        </w:rPr>
        <w:t xml:space="preserve"> </w:t>
      </w:r>
      <w:r w:rsidRPr="00E361D6">
        <w:rPr>
          <w:rFonts w:cs="Calibri"/>
          <w:szCs w:val="24"/>
        </w:rPr>
        <w:t>–</w:t>
      </w:r>
      <w:r w:rsidRPr="00E361D6">
        <w:rPr>
          <w:rFonts w:cs="Calibri"/>
          <w:spacing w:val="-2"/>
          <w:szCs w:val="24"/>
        </w:rPr>
        <w:t xml:space="preserve"> </w:t>
      </w:r>
      <w:r w:rsidRPr="00E361D6">
        <w:rPr>
          <w:rFonts w:cs="Calibri"/>
          <w:szCs w:val="24"/>
        </w:rPr>
        <w:t>Uniform</w:t>
      </w:r>
      <w:r w:rsidRPr="00E361D6">
        <w:rPr>
          <w:rFonts w:cs="Calibri"/>
          <w:spacing w:val="-5"/>
          <w:szCs w:val="24"/>
        </w:rPr>
        <w:t xml:space="preserve"> </w:t>
      </w:r>
      <w:r w:rsidRPr="00E361D6">
        <w:rPr>
          <w:rFonts w:cs="Calibri"/>
          <w:szCs w:val="24"/>
        </w:rPr>
        <w:t>Administrative</w:t>
      </w:r>
      <w:r w:rsidRPr="00E361D6">
        <w:rPr>
          <w:rFonts w:cs="Calibri"/>
          <w:spacing w:val="-2"/>
          <w:szCs w:val="24"/>
        </w:rPr>
        <w:t xml:space="preserve"> </w:t>
      </w:r>
      <w:r w:rsidRPr="00E361D6">
        <w:rPr>
          <w:rFonts w:cs="Calibri"/>
          <w:szCs w:val="24"/>
        </w:rPr>
        <w:t>Requirements,</w:t>
      </w:r>
      <w:r w:rsidRPr="00E361D6">
        <w:rPr>
          <w:rFonts w:cs="Calibri"/>
          <w:spacing w:val="-2"/>
          <w:szCs w:val="24"/>
        </w:rPr>
        <w:t xml:space="preserve"> </w:t>
      </w:r>
      <w:r w:rsidRPr="00E361D6">
        <w:rPr>
          <w:rFonts w:cs="Calibri"/>
          <w:szCs w:val="24"/>
        </w:rPr>
        <w:t>Cost</w:t>
      </w:r>
      <w:r w:rsidRPr="00E361D6">
        <w:rPr>
          <w:rFonts w:cs="Calibri"/>
          <w:spacing w:val="-2"/>
          <w:szCs w:val="24"/>
        </w:rPr>
        <w:t xml:space="preserve"> </w:t>
      </w:r>
      <w:r w:rsidRPr="00E361D6">
        <w:rPr>
          <w:rFonts w:cs="Calibri"/>
          <w:szCs w:val="24"/>
        </w:rPr>
        <w:t>Principles,</w:t>
      </w:r>
      <w:r w:rsidRPr="00E361D6">
        <w:rPr>
          <w:rFonts w:cs="Calibri"/>
          <w:spacing w:val="-2"/>
          <w:szCs w:val="24"/>
        </w:rPr>
        <w:t xml:space="preserve"> </w:t>
      </w:r>
      <w:r w:rsidRPr="00E361D6">
        <w:rPr>
          <w:rFonts w:cs="Calibri"/>
          <w:szCs w:val="24"/>
        </w:rPr>
        <w:t>and</w:t>
      </w:r>
      <w:r w:rsidRPr="00E361D6">
        <w:rPr>
          <w:rFonts w:cs="Calibri"/>
          <w:spacing w:val="-5"/>
          <w:szCs w:val="24"/>
        </w:rPr>
        <w:t xml:space="preserve"> </w:t>
      </w:r>
      <w:r w:rsidRPr="00E361D6">
        <w:rPr>
          <w:rFonts w:cs="Calibri"/>
          <w:szCs w:val="24"/>
        </w:rPr>
        <w:t>Audit</w:t>
      </w:r>
      <w:r w:rsidRPr="00E361D6">
        <w:rPr>
          <w:rFonts w:cs="Calibri"/>
          <w:spacing w:val="-2"/>
          <w:szCs w:val="24"/>
        </w:rPr>
        <w:t xml:space="preserve"> </w:t>
      </w:r>
      <w:r w:rsidRPr="00E361D6">
        <w:rPr>
          <w:rFonts w:cs="Calibri"/>
          <w:szCs w:val="24"/>
        </w:rPr>
        <w:t>Requirements</w:t>
      </w:r>
      <w:r w:rsidRPr="00E361D6">
        <w:rPr>
          <w:rFonts w:cs="Calibri"/>
          <w:spacing w:val="-2"/>
          <w:szCs w:val="24"/>
        </w:rPr>
        <w:t xml:space="preserve"> </w:t>
      </w:r>
      <w:r w:rsidRPr="00E361D6">
        <w:rPr>
          <w:rFonts w:cs="Calibri"/>
          <w:szCs w:val="24"/>
        </w:rPr>
        <w:t>for Federal Awards</w:t>
      </w:r>
    </w:p>
    <w:p w14:paraId="1D88AE83" w14:textId="77777777" w:rsidR="00E361D6" w:rsidRPr="00E361D6" w:rsidRDefault="00E361D6" w:rsidP="00E361D6">
      <w:pPr>
        <w:pStyle w:val="ListParagraph"/>
        <w:widowControl w:val="0"/>
        <w:numPr>
          <w:ilvl w:val="1"/>
          <w:numId w:val="31"/>
        </w:numPr>
        <w:tabs>
          <w:tab w:val="left" w:pos="1900"/>
          <w:tab w:val="left" w:pos="1901"/>
        </w:tabs>
        <w:autoSpaceDE w:val="0"/>
        <w:autoSpaceDN w:val="0"/>
        <w:spacing w:after="0" w:line="240" w:lineRule="auto"/>
        <w:contextualSpacing w:val="0"/>
        <w:rPr>
          <w:rFonts w:cs="Calibri"/>
          <w:szCs w:val="24"/>
        </w:rPr>
      </w:pPr>
      <w:r w:rsidRPr="00E361D6">
        <w:rPr>
          <w:rFonts w:cs="Calibri"/>
          <w:szCs w:val="24"/>
        </w:rPr>
        <w:t>2</w:t>
      </w:r>
      <w:r w:rsidRPr="00E361D6">
        <w:rPr>
          <w:rFonts w:cs="Calibri"/>
          <w:spacing w:val="-3"/>
          <w:szCs w:val="24"/>
        </w:rPr>
        <w:t xml:space="preserve"> </w:t>
      </w:r>
      <w:r w:rsidRPr="00E361D6">
        <w:rPr>
          <w:rFonts w:cs="Calibri"/>
          <w:szCs w:val="24"/>
        </w:rPr>
        <w:t>CFR</w:t>
      </w:r>
      <w:r w:rsidRPr="00E361D6">
        <w:rPr>
          <w:rFonts w:cs="Calibri"/>
          <w:spacing w:val="-4"/>
          <w:szCs w:val="24"/>
        </w:rPr>
        <w:t xml:space="preserve"> </w:t>
      </w:r>
      <w:r w:rsidRPr="00E361D6">
        <w:rPr>
          <w:rFonts w:cs="Calibri"/>
          <w:szCs w:val="24"/>
        </w:rPr>
        <w:t>§200</w:t>
      </w:r>
      <w:r w:rsidRPr="00E361D6">
        <w:rPr>
          <w:rFonts w:cs="Calibri"/>
          <w:spacing w:val="-4"/>
          <w:szCs w:val="24"/>
        </w:rPr>
        <w:t xml:space="preserve"> </w:t>
      </w:r>
      <w:r w:rsidRPr="00E361D6">
        <w:rPr>
          <w:rFonts w:cs="Calibri"/>
          <w:szCs w:val="24"/>
        </w:rPr>
        <w:t>Subpart</w:t>
      </w:r>
      <w:r w:rsidRPr="00E361D6">
        <w:rPr>
          <w:rFonts w:cs="Calibri"/>
          <w:spacing w:val="-3"/>
          <w:szCs w:val="24"/>
        </w:rPr>
        <w:t xml:space="preserve"> </w:t>
      </w:r>
      <w:r w:rsidRPr="00E361D6">
        <w:rPr>
          <w:rFonts w:cs="Calibri"/>
          <w:szCs w:val="24"/>
        </w:rPr>
        <w:t>F</w:t>
      </w:r>
      <w:r w:rsidRPr="00E361D6">
        <w:rPr>
          <w:rFonts w:cs="Calibri"/>
          <w:spacing w:val="-5"/>
          <w:szCs w:val="24"/>
        </w:rPr>
        <w:t xml:space="preserve"> </w:t>
      </w:r>
      <w:r w:rsidRPr="00E361D6">
        <w:rPr>
          <w:rFonts w:cs="Calibri"/>
          <w:szCs w:val="24"/>
        </w:rPr>
        <w:t>–</w:t>
      </w:r>
      <w:r w:rsidRPr="00E361D6">
        <w:rPr>
          <w:rFonts w:cs="Calibri"/>
          <w:spacing w:val="-3"/>
          <w:szCs w:val="24"/>
        </w:rPr>
        <w:t xml:space="preserve"> </w:t>
      </w:r>
      <w:r w:rsidRPr="00E361D6">
        <w:rPr>
          <w:rFonts w:cs="Calibri"/>
          <w:szCs w:val="24"/>
        </w:rPr>
        <w:t>Audit</w:t>
      </w:r>
      <w:r w:rsidRPr="00E361D6">
        <w:rPr>
          <w:rFonts w:cs="Calibri"/>
          <w:spacing w:val="-3"/>
          <w:szCs w:val="24"/>
        </w:rPr>
        <w:t xml:space="preserve"> </w:t>
      </w:r>
      <w:r w:rsidRPr="00E361D6">
        <w:rPr>
          <w:rFonts w:cs="Calibri"/>
          <w:spacing w:val="-2"/>
          <w:szCs w:val="24"/>
        </w:rPr>
        <w:t>Requirements</w:t>
      </w:r>
    </w:p>
    <w:p w14:paraId="1F9B9961" w14:textId="77777777" w:rsidR="00E361D6" w:rsidRPr="00E361D6" w:rsidRDefault="00E361D6" w:rsidP="00E361D6">
      <w:pPr>
        <w:pStyle w:val="ListParagraph"/>
        <w:widowControl w:val="0"/>
        <w:numPr>
          <w:ilvl w:val="1"/>
          <w:numId w:val="31"/>
        </w:numPr>
        <w:tabs>
          <w:tab w:val="left" w:pos="1900"/>
          <w:tab w:val="left" w:pos="1901"/>
        </w:tabs>
        <w:autoSpaceDE w:val="0"/>
        <w:autoSpaceDN w:val="0"/>
        <w:spacing w:after="0" w:line="291" w:lineRule="exact"/>
        <w:contextualSpacing w:val="0"/>
        <w:rPr>
          <w:rFonts w:cs="Calibri"/>
          <w:szCs w:val="24"/>
        </w:rPr>
      </w:pPr>
      <w:r w:rsidRPr="00E361D6">
        <w:rPr>
          <w:rFonts w:cs="Calibri"/>
          <w:szCs w:val="24"/>
        </w:rPr>
        <w:t>2</w:t>
      </w:r>
      <w:r w:rsidRPr="00E361D6">
        <w:rPr>
          <w:rFonts w:cs="Calibri"/>
          <w:spacing w:val="-3"/>
          <w:szCs w:val="24"/>
        </w:rPr>
        <w:t xml:space="preserve"> </w:t>
      </w:r>
      <w:r w:rsidRPr="00E361D6">
        <w:rPr>
          <w:rFonts w:cs="Calibri"/>
          <w:szCs w:val="24"/>
        </w:rPr>
        <w:t>CFR</w:t>
      </w:r>
      <w:r w:rsidRPr="00E361D6">
        <w:rPr>
          <w:rFonts w:cs="Calibri"/>
          <w:spacing w:val="-8"/>
          <w:szCs w:val="24"/>
        </w:rPr>
        <w:t xml:space="preserve"> </w:t>
      </w:r>
      <w:r w:rsidRPr="00E361D6">
        <w:rPr>
          <w:rFonts w:cs="Calibri"/>
          <w:szCs w:val="24"/>
        </w:rPr>
        <w:t>§200.519</w:t>
      </w:r>
      <w:r w:rsidRPr="00E361D6">
        <w:rPr>
          <w:rFonts w:cs="Calibri"/>
          <w:spacing w:val="-2"/>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Criteria</w:t>
      </w:r>
      <w:r w:rsidRPr="00E361D6">
        <w:rPr>
          <w:rFonts w:cs="Calibri"/>
          <w:spacing w:val="-5"/>
          <w:szCs w:val="24"/>
        </w:rPr>
        <w:t xml:space="preserve"> </w:t>
      </w:r>
      <w:r w:rsidRPr="00E361D6">
        <w:rPr>
          <w:rFonts w:cs="Calibri"/>
          <w:szCs w:val="24"/>
        </w:rPr>
        <w:t>for</w:t>
      </w:r>
      <w:r w:rsidRPr="00E361D6">
        <w:rPr>
          <w:rFonts w:cs="Calibri"/>
          <w:spacing w:val="-6"/>
          <w:szCs w:val="24"/>
        </w:rPr>
        <w:t xml:space="preserve"> </w:t>
      </w:r>
      <w:r w:rsidRPr="00E361D6">
        <w:rPr>
          <w:rFonts w:cs="Calibri"/>
          <w:szCs w:val="24"/>
        </w:rPr>
        <w:t>Federal</w:t>
      </w:r>
      <w:r w:rsidRPr="00E361D6">
        <w:rPr>
          <w:rFonts w:cs="Calibri"/>
          <w:spacing w:val="-6"/>
          <w:szCs w:val="24"/>
        </w:rPr>
        <w:t xml:space="preserve"> </w:t>
      </w:r>
      <w:r w:rsidRPr="00E361D6">
        <w:rPr>
          <w:rFonts w:cs="Calibri"/>
          <w:szCs w:val="24"/>
        </w:rPr>
        <w:t>program</w:t>
      </w:r>
      <w:r w:rsidRPr="00E361D6">
        <w:rPr>
          <w:rFonts w:cs="Calibri"/>
          <w:spacing w:val="-6"/>
          <w:szCs w:val="24"/>
        </w:rPr>
        <w:t xml:space="preserve"> </w:t>
      </w:r>
      <w:r w:rsidRPr="00E361D6">
        <w:rPr>
          <w:rFonts w:cs="Calibri"/>
          <w:spacing w:val="-4"/>
          <w:szCs w:val="24"/>
        </w:rPr>
        <w:t>risk</w:t>
      </w:r>
    </w:p>
    <w:p w14:paraId="2F57E426" w14:textId="77777777" w:rsidR="00E361D6" w:rsidRPr="00E361D6" w:rsidRDefault="00E361D6" w:rsidP="00E361D6">
      <w:pPr>
        <w:pStyle w:val="ListParagraph"/>
        <w:widowControl w:val="0"/>
        <w:numPr>
          <w:ilvl w:val="0"/>
          <w:numId w:val="31"/>
        </w:numPr>
        <w:tabs>
          <w:tab w:val="left" w:pos="820"/>
          <w:tab w:val="left" w:pos="821"/>
        </w:tabs>
        <w:autoSpaceDE w:val="0"/>
        <w:autoSpaceDN w:val="0"/>
        <w:spacing w:after="0" w:line="291" w:lineRule="exact"/>
        <w:contextualSpacing w:val="0"/>
        <w:rPr>
          <w:rFonts w:cs="Calibri"/>
          <w:szCs w:val="24"/>
        </w:rPr>
      </w:pPr>
      <w:r w:rsidRPr="00E361D6">
        <w:rPr>
          <w:rFonts w:cs="Calibri"/>
          <w:szCs w:val="24"/>
        </w:rPr>
        <w:lastRenderedPageBreak/>
        <w:t>34</w:t>
      </w:r>
      <w:r w:rsidRPr="00E361D6">
        <w:rPr>
          <w:rFonts w:cs="Calibri"/>
          <w:spacing w:val="-7"/>
          <w:szCs w:val="24"/>
        </w:rPr>
        <w:t xml:space="preserve"> </w:t>
      </w:r>
      <w:r w:rsidRPr="00E361D6">
        <w:rPr>
          <w:rFonts w:cs="Calibri"/>
          <w:szCs w:val="24"/>
        </w:rPr>
        <w:t>CFR</w:t>
      </w:r>
      <w:r w:rsidRPr="00E361D6">
        <w:rPr>
          <w:rFonts w:cs="Calibri"/>
          <w:spacing w:val="-5"/>
          <w:szCs w:val="24"/>
        </w:rPr>
        <w:t xml:space="preserve"> </w:t>
      </w:r>
      <w:r w:rsidRPr="00E361D6">
        <w:rPr>
          <w:rFonts w:cs="Calibri"/>
          <w:szCs w:val="24"/>
        </w:rPr>
        <w:t>Part</w:t>
      </w:r>
      <w:r w:rsidRPr="00E361D6">
        <w:rPr>
          <w:rFonts w:cs="Calibri"/>
          <w:spacing w:val="-8"/>
          <w:szCs w:val="24"/>
        </w:rPr>
        <w:t xml:space="preserve"> </w:t>
      </w:r>
      <w:r w:rsidRPr="00E361D6">
        <w:rPr>
          <w:rFonts w:cs="Calibri"/>
          <w:szCs w:val="24"/>
        </w:rPr>
        <w:t>300</w:t>
      </w:r>
      <w:r w:rsidRPr="00E361D6">
        <w:rPr>
          <w:rFonts w:cs="Calibri"/>
          <w:spacing w:val="-2"/>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Assistance</w:t>
      </w:r>
      <w:r w:rsidRPr="00E361D6">
        <w:rPr>
          <w:rFonts w:cs="Calibri"/>
          <w:spacing w:val="-3"/>
          <w:szCs w:val="24"/>
        </w:rPr>
        <w:t xml:space="preserve"> </w:t>
      </w:r>
      <w:r w:rsidRPr="00E361D6">
        <w:rPr>
          <w:rFonts w:cs="Calibri"/>
          <w:szCs w:val="24"/>
        </w:rPr>
        <w:t>to</w:t>
      </w:r>
      <w:r w:rsidRPr="00E361D6">
        <w:rPr>
          <w:rFonts w:cs="Calibri"/>
          <w:spacing w:val="-5"/>
          <w:szCs w:val="24"/>
        </w:rPr>
        <w:t xml:space="preserve"> </w:t>
      </w:r>
      <w:r w:rsidRPr="00E361D6">
        <w:rPr>
          <w:rFonts w:cs="Calibri"/>
          <w:szCs w:val="24"/>
        </w:rPr>
        <w:t>States</w:t>
      </w:r>
      <w:r w:rsidRPr="00E361D6">
        <w:rPr>
          <w:rFonts w:cs="Calibri"/>
          <w:spacing w:val="-5"/>
          <w:szCs w:val="24"/>
        </w:rPr>
        <w:t xml:space="preserve"> </w:t>
      </w:r>
      <w:r w:rsidRPr="00E361D6">
        <w:rPr>
          <w:rFonts w:cs="Calibri"/>
          <w:szCs w:val="24"/>
        </w:rPr>
        <w:t>for</w:t>
      </w:r>
      <w:r w:rsidRPr="00E361D6">
        <w:rPr>
          <w:rFonts w:cs="Calibri"/>
          <w:spacing w:val="-8"/>
          <w:szCs w:val="24"/>
        </w:rPr>
        <w:t xml:space="preserve"> </w:t>
      </w:r>
      <w:r w:rsidRPr="00E361D6">
        <w:rPr>
          <w:rFonts w:cs="Calibri"/>
          <w:szCs w:val="24"/>
        </w:rPr>
        <w:t>the</w:t>
      </w:r>
      <w:r w:rsidRPr="00E361D6">
        <w:rPr>
          <w:rFonts w:cs="Calibri"/>
          <w:spacing w:val="-4"/>
          <w:szCs w:val="24"/>
        </w:rPr>
        <w:t xml:space="preserve"> </w:t>
      </w:r>
      <w:r w:rsidRPr="00E361D6">
        <w:rPr>
          <w:rFonts w:cs="Calibri"/>
          <w:szCs w:val="24"/>
        </w:rPr>
        <w:t>Education</w:t>
      </w:r>
      <w:r w:rsidRPr="00E361D6">
        <w:rPr>
          <w:rFonts w:cs="Calibri"/>
          <w:spacing w:val="-8"/>
          <w:szCs w:val="24"/>
        </w:rPr>
        <w:t xml:space="preserve"> </w:t>
      </w:r>
      <w:r w:rsidRPr="00E361D6">
        <w:rPr>
          <w:rFonts w:cs="Calibri"/>
          <w:szCs w:val="24"/>
        </w:rPr>
        <w:t>of</w:t>
      </w:r>
      <w:r w:rsidRPr="00E361D6">
        <w:rPr>
          <w:rFonts w:cs="Calibri"/>
          <w:spacing w:val="-2"/>
          <w:szCs w:val="24"/>
        </w:rPr>
        <w:t xml:space="preserve"> </w:t>
      </w:r>
      <w:r w:rsidRPr="00E361D6">
        <w:rPr>
          <w:rFonts w:cs="Calibri"/>
          <w:szCs w:val="24"/>
        </w:rPr>
        <w:t>Children</w:t>
      </w:r>
      <w:r w:rsidRPr="00E361D6">
        <w:rPr>
          <w:rFonts w:cs="Calibri"/>
          <w:spacing w:val="-8"/>
          <w:szCs w:val="24"/>
        </w:rPr>
        <w:t xml:space="preserve"> </w:t>
      </w:r>
      <w:r w:rsidRPr="00E361D6">
        <w:rPr>
          <w:rFonts w:cs="Calibri"/>
          <w:szCs w:val="24"/>
        </w:rPr>
        <w:t>with</w:t>
      </w:r>
      <w:r w:rsidRPr="00E361D6">
        <w:rPr>
          <w:rFonts w:cs="Calibri"/>
          <w:spacing w:val="-8"/>
          <w:szCs w:val="24"/>
        </w:rPr>
        <w:t xml:space="preserve"> </w:t>
      </w:r>
      <w:r w:rsidRPr="00E361D6">
        <w:rPr>
          <w:rFonts w:cs="Calibri"/>
          <w:spacing w:val="-2"/>
          <w:szCs w:val="24"/>
        </w:rPr>
        <w:t>Disabilities</w:t>
      </w:r>
    </w:p>
    <w:p w14:paraId="59D84B56" w14:textId="77777777" w:rsidR="00E361D6" w:rsidRPr="00E361D6" w:rsidRDefault="00E361D6" w:rsidP="00E361D6">
      <w:pPr>
        <w:pStyle w:val="ListParagraph"/>
        <w:widowControl w:val="0"/>
        <w:numPr>
          <w:ilvl w:val="1"/>
          <w:numId w:val="31"/>
        </w:numPr>
        <w:tabs>
          <w:tab w:val="left" w:pos="1900"/>
          <w:tab w:val="left" w:pos="1902"/>
        </w:tabs>
        <w:autoSpaceDE w:val="0"/>
        <w:autoSpaceDN w:val="0"/>
        <w:spacing w:after="0" w:line="240" w:lineRule="auto"/>
        <w:ind w:left="1901" w:right="1074"/>
        <w:contextualSpacing w:val="0"/>
        <w:rPr>
          <w:rFonts w:cs="Calibri"/>
          <w:szCs w:val="24"/>
        </w:rPr>
      </w:pPr>
      <w:r w:rsidRPr="00E361D6">
        <w:rPr>
          <w:rFonts w:cs="Calibri"/>
          <w:szCs w:val="24"/>
        </w:rPr>
        <w:t>34</w:t>
      </w:r>
      <w:r w:rsidRPr="00E361D6">
        <w:rPr>
          <w:rFonts w:cs="Calibri"/>
          <w:spacing w:val="-5"/>
          <w:szCs w:val="24"/>
        </w:rPr>
        <w:t xml:space="preserve"> </w:t>
      </w:r>
      <w:r w:rsidRPr="00E361D6">
        <w:rPr>
          <w:rFonts w:cs="Calibri"/>
          <w:szCs w:val="24"/>
        </w:rPr>
        <w:t>CFR</w:t>
      </w:r>
      <w:r w:rsidRPr="00E361D6">
        <w:rPr>
          <w:rFonts w:cs="Calibri"/>
          <w:spacing w:val="-6"/>
          <w:szCs w:val="24"/>
        </w:rPr>
        <w:t xml:space="preserve"> </w:t>
      </w:r>
      <w:r w:rsidRPr="00E361D6">
        <w:rPr>
          <w:rFonts w:cs="Calibri"/>
          <w:szCs w:val="24"/>
        </w:rPr>
        <w:t>§300</w:t>
      </w:r>
      <w:r w:rsidRPr="00E361D6">
        <w:rPr>
          <w:rFonts w:cs="Calibri"/>
          <w:spacing w:val="-5"/>
          <w:szCs w:val="24"/>
        </w:rPr>
        <w:t xml:space="preserve"> </w:t>
      </w:r>
      <w:r w:rsidRPr="00E361D6">
        <w:rPr>
          <w:rFonts w:cs="Calibri"/>
          <w:szCs w:val="24"/>
        </w:rPr>
        <w:t>Subpart</w:t>
      </w:r>
      <w:r w:rsidRPr="00E361D6">
        <w:rPr>
          <w:rFonts w:cs="Calibri"/>
          <w:spacing w:val="-6"/>
          <w:szCs w:val="24"/>
        </w:rPr>
        <w:t xml:space="preserve"> </w:t>
      </w:r>
      <w:r w:rsidRPr="00E361D6">
        <w:rPr>
          <w:rFonts w:cs="Calibri"/>
          <w:szCs w:val="24"/>
        </w:rPr>
        <w:t>F</w:t>
      </w:r>
      <w:r w:rsidRPr="00E361D6">
        <w:rPr>
          <w:rFonts w:cs="Calibri"/>
          <w:spacing w:val="-8"/>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Monitoring,</w:t>
      </w:r>
      <w:r w:rsidRPr="00E361D6">
        <w:rPr>
          <w:rFonts w:cs="Calibri"/>
          <w:spacing w:val="-8"/>
          <w:szCs w:val="24"/>
        </w:rPr>
        <w:t xml:space="preserve"> </w:t>
      </w:r>
      <w:r w:rsidRPr="00E361D6">
        <w:rPr>
          <w:rFonts w:cs="Calibri"/>
          <w:szCs w:val="24"/>
        </w:rPr>
        <w:t>Enforcement,</w:t>
      </w:r>
      <w:r w:rsidRPr="00E361D6">
        <w:rPr>
          <w:rFonts w:cs="Calibri"/>
          <w:spacing w:val="-6"/>
          <w:szCs w:val="24"/>
        </w:rPr>
        <w:t xml:space="preserve"> </w:t>
      </w:r>
      <w:r w:rsidRPr="00E361D6">
        <w:rPr>
          <w:rFonts w:cs="Calibri"/>
          <w:szCs w:val="24"/>
        </w:rPr>
        <w:t>Confidentiality,</w:t>
      </w:r>
      <w:r w:rsidRPr="00E361D6">
        <w:rPr>
          <w:rFonts w:cs="Calibri"/>
          <w:spacing w:val="-6"/>
          <w:szCs w:val="24"/>
        </w:rPr>
        <w:t xml:space="preserve"> </w:t>
      </w:r>
      <w:r w:rsidRPr="00E361D6">
        <w:rPr>
          <w:rFonts w:cs="Calibri"/>
          <w:szCs w:val="24"/>
        </w:rPr>
        <w:t>and</w:t>
      </w:r>
      <w:r w:rsidRPr="00E361D6">
        <w:rPr>
          <w:rFonts w:cs="Calibri"/>
          <w:spacing w:val="-9"/>
          <w:szCs w:val="24"/>
        </w:rPr>
        <w:t xml:space="preserve"> </w:t>
      </w:r>
      <w:r w:rsidRPr="00E361D6">
        <w:rPr>
          <w:rFonts w:cs="Calibri"/>
          <w:szCs w:val="24"/>
        </w:rPr>
        <w:t xml:space="preserve">Program </w:t>
      </w:r>
      <w:r w:rsidRPr="00E361D6">
        <w:rPr>
          <w:rFonts w:cs="Calibri"/>
          <w:spacing w:val="-2"/>
          <w:szCs w:val="24"/>
        </w:rPr>
        <w:t>Information</w:t>
      </w:r>
    </w:p>
    <w:p w14:paraId="59CF11A9" w14:textId="77777777" w:rsidR="00E361D6" w:rsidRPr="00E361D6" w:rsidRDefault="00E361D6" w:rsidP="00E361D6">
      <w:pPr>
        <w:numPr>
          <w:ilvl w:val="0"/>
          <w:numId w:val="31"/>
        </w:numPr>
        <w:spacing w:after="0" w:line="240" w:lineRule="auto"/>
        <w:ind w:left="821" w:hanging="360"/>
        <w:rPr>
          <w:rFonts w:cs="Calibri"/>
          <w:szCs w:val="24"/>
        </w:rPr>
      </w:pPr>
      <w:r w:rsidRPr="00467688">
        <w:rPr>
          <w:rFonts w:cs="Calibri"/>
          <w:szCs w:val="24"/>
        </w:rPr>
        <w:t>34 CFR Part 76</w:t>
      </w:r>
      <w:r w:rsidRPr="00E361D6">
        <w:rPr>
          <w:rFonts w:cs="Calibri"/>
          <w:szCs w:val="24"/>
        </w:rPr>
        <w:t xml:space="preserve"> - </w:t>
      </w:r>
      <w:r w:rsidRPr="00467688">
        <w:rPr>
          <w:rFonts w:cs="Calibri"/>
          <w:szCs w:val="24"/>
        </w:rPr>
        <w:t>Education Department General Administrative Regulations (</w:t>
      </w:r>
      <w:r w:rsidRPr="00E361D6">
        <w:rPr>
          <w:rFonts w:cs="Calibri"/>
          <w:szCs w:val="24"/>
        </w:rPr>
        <w:t>EDGAR) State</w:t>
      </w:r>
      <w:r w:rsidRPr="00467688">
        <w:rPr>
          <w:rFonts w:cs="Calibri"/>
          <w:szCs w:val="24"/>
        </w:rPr>
        <w:t>-Administered Programs</w:t>
      </w:r>
    </w:p>
    <w:p w14:paraId="77E55E0D" w14:textId="77777777" w:rsidR="00E361D6" w:rsidRPr="00E361D6" w:rsidRDefault="00E361D6" w:rsidP="00E361D6">
      <w:pPr>
        <w:pStyle w:val="ListParagraph"/>
        <w:numPr>
          <w:ilvl w:val="0"/>
          <w:numId w:val="31"/>
        </w:numPr>
        <w:spacing w:after="0" w:line="240" w:lineRule="auto"/>
        <w:ind w:left="821" w:hanging="360"/>
        <w:rPr>
          <w:rFonts w:cs="Calibri"/>
          <w:szCs w:val="24"/>
        </w:rPr>
      </w:pPr>
      <w:r w:rsidRPr="00E361D6">
        <w:rPr>
          <w:rFonts w:cs="Calibri"/>
          <w:szCs w:val="24"/>
        </w:rPr>
        <w:t>IDAPA 08.02.03.109 and Idaho Code § 33 Chapter 20 Education of Exceptional Children</w:t>
      </w:r>
    </w:p>
    <w:p w14:paraId="53A4F7F2" w14:textId="1AA63386" w:rsidR="001001B9" w:rsidRDefault="001001B9" w:rsidP="00C77745">
      <w:pPr>
        <w:pStyle w:val="Heading2"/>
      </w:pPr>
      <w:r>
        <w:t>timeline</w:t>
      </w:r>
    </w:p>
    <w:p w14:paraId="6852745C" w14:textId="689AB638" w:rsidR="001001B9" w:rsidRDefault="00A641A3" w:rsidP="001001B9">
      <w:r>
        <w:t>Letter of Interest and</w:t>
      </w:r>
      <w:r w:rsidR="00E361D6">
        <w:t>/or</w:t>
      </w:r>
      <w:r>
        <w:t xml:space="preserve"> Resume or CV</w:t>
      </w:r>
      <w:r w:rsidR="001001B9">
        <w:t xml:space="preserve"> are due by:</w:t>
      </w:r>
      <w:r w:rsidR="001001B9">
        <w:tab/>
      </w:r>
      <w:r w:rsidR="00837845">
        <w:t xml:space="preserve">Tuesday, July </w:t>
      </w:r>
      <w:r w:rsidR="00845BDF">
        <w:t>29</w:t>
      </w:r>
      <w:r w:rsidR="00837845">
        <w:t>, 2025</w:t>
      </w:r>
      <w:r w:rsidR="00E361D6">
        <w:t xml:space="preserve">, </w:t>
      </w:r>
      <w:r w:rsidR="001001B9">
        <w:t>by 5:00 p.m. MT</w:t>
      </w:r>
    </w:p>
    <w:p w14:paraId="03543F81" w14:textId="1D0123D4" w:rsidR="001001B9" w:rsidRPr="00917921" w:rsidRDefault="001001B9" w:rsidP="001001B9">
      <w:pPr>
        <w:pStyle w:val="Heading2"/>
      </w:pPr>
      <w:r>
        <w:t>specifications or scope of work</w:t>
      </w:r>
    </w:p>
    <w:p w14:paraId="5CE36690" w14:textId="77777777" w:rsidR="00E361D6" w:rsidRPr="00E361D6" w:rsidRDefault="00E361D6" w:rsidP="00E361D6">
      <w:pPr>
        <w:spacing w:after="0" w:line="240" w:lineRule="auto"/>
        <w:ind w:left="180"/>
        <w:rPr>
          <w:rFonts w:cs="Calibri"/>
          <w:szCs w:val="24"/>
        </w:rPr>
      </w:pPr>
      <w:r w:rsidRPr="00373F05">
        <w:rPr>
          <w:rFonts w:cs="Calibri"/>
          <w:szCs w:val="24"/>
        </w:rPr>
        <w:t xml:space="preserve">Contractor will conduct fiscal monitoring desk reviews for LEAs and issue a fiscal monitoring report with findings of noncompliance if/when applicable. </w:t>
      </w:r>
      <w:r w:rsidRPr="00E361D6">
        <w:rPr>
          <w:rFonts w:cs="Calibri"/>
          <w:szCs w:val="24"/>
        </w:rPr>
        <w:t>The</w:t>
      </w:r>
      <w:r w:rsidRPr="00E361D6">
        <w:rPr>
          <w:rFonts w:cs="Calibri"/>
          <w:spacing w:val="-1"/>
          <w:szCs w:val="24"/>
        </w:rPr>
        <w:t xml:space="preserve"> </w:t>
      </w:r>
      <w:r w:rsidRPr="00E361D6">
        <w:rPr>
          <w:rFonts w:cs="Calibri"/>
          <w:szCs w:val="24"/>
        </w:rPr>
        <w:t>purpose</w:t>
      </w:r>
      <w:r w:rsidRPr="00E361D6">
        <w:rPr>
          <w:rFonts w:cs="Calibri"/>
          <w:spacing w:val="-1"/>
          <w:szCs w:val="24"/>
        </w:rPr>
        <w:t xml:space="preserve"> </w:t>
      </w:r>
      <w:r w:rsidRPr="00E361D6">
        <w:rPr>
          <w:rFonts w:cs="Calibri"/>
          <w:szCs w:val="24"/>
        </w:rPr>
        <w:t>of</w:t>
      </w:r>
      <w:r w:rsidRPr="00E361D6">
        <w:rPr>
          <w:rFonts w:cs="Calibri"/>
          <w:spacing w:val="-2"/>
          <w:szCs w:val="24"/>
        </w:rPr>
        <w:t xml:space="preserve"> </w:t>
      </w:r>
      <w:r w:rsidRPr="00E361D6">
        <w:rPr>
          <w:rFonts w:cs="Calibri"/>
          <w:szCs w:val="24"/>
        </w:rPr>
        <w:t>a</w:t>
      </w:r>
      <w:r w:rsidRPr="00E361D6">
        <w:rPr>
          <w:rFonts w:cs="Calibri"/>
          <w:spacing w:val="-2"/>
          <w:szCs w:val="24"/>
        </w:rPr>
        <w:t xml:space="preserve"> </w:t>
      </w:r>
      <w:r w:rsidRPr="00E361D6">
        <w:rPr>
          <w:rFonts w:cs="Calibri"/>
          <w:szCs w:val="24"/>
        </w:rPr>
        <w:t>review</w:t>
      </w:r>
      <w:r w:rsidRPr="00E361D6">
        <w:rPr>
          <w:rFonts w:cs="Calibri"/>
          <w:spacing w:val="-1"/>
          <w:szCs w:val="24"/>
        </w:rPr>
        <w:t xml:space="preserve"> </w:t>
      </w:r>
      <w:r w:rsidRPr="00E361D6">
        <w:rPr>
          <w:rFonts w:cs="Calibri"/>
          <w:szCs w:val="24"/>
        </w:rPr>
        <w:t>is</w:t>
      </w:r>
      <w:r w:rsidRPr="00E361D6">
        <w:rPr>
          <w:rFonts w:cs="Calibri"/>
          <w:spacing w:val="-4"/>
          <w:szCs w:val="24"/>
        </w:rPr>
        <w:t xml:space="preserve"> </w:t>
      </w:r>
      <w:r w:rsidRPr="00E361D6">
        <w:rPr>
          <w:rFonts w:cs="Calibri"/>
          <w:szCs w:val="24"/>
        </w:rPr>
        <w:t>to</w:t>
      </w:r>
      <w:r w:rsidRPr="00E361D6">
        <w:rPr>
          <w:rFonts w:cs="Calibri"/>
          <w:spacing w:val="-3"/>
          <w:szCs w:val="24"/>
        </w:rPr>
        <w:t xml:space="preserve"> </w:t>
      </w:r>
      <w:r w:rsidRPr="00E361D6">
        <w:rPr>
          <w:rFonts w:cs="Calibri"/>
          <w:szCs w:val="24"/>
        </w:rPr>
        <w:t>ensure</w:t>
      </w:r>
      <w:r w:rsidRPr="00E361D6">
        <w:rPr>
          <w:rFonts w:cs="Calibri"/>
          <w:spacing w:val="-4"/>
          <w:szCs w:val="24"/>
        </w:rPr>
        <w:t xml:space="preserve"> </w:t>
      </w:r>
      <w:r w:rsidRPr="00E361D6">
        <w:rPr>
          <w:rFonts w:cs="Calibri"/>
          <w:szCs w:val="24"/>
        </w:rPr>
        <w:t>that</w:t>
      </w:r>
      <w:r w:rsidRPr="00E361D6">
        <w:rPr>
          <w:rFonts w:cs="Calibri"/>
          <w:spacing w:val="-4"/>
          <w:szCs w:val="24"/>
        </w:rPr>
        <w:t xml:space="preserve"> </w:t>
      </w:r>
      <w:r w:rsidRPr="00E361D6">
        <w:rPr>
          <w:rFonts w:cs="Calibri"/>
          <w:szCs w:val="24"/>
        </w:rPr>
        <w:t>each</w:t>
      </w:r>
      <w:r w:rsidRPr="00E361D6">
        <w:rPr>
          <w:rFonts w:cs="Calibri"/>
          <w:spacing w:val="-5"/>
          <w:szCs w:val="24"/>
        </w:rPr>
        <w:t xml:space="preserve"> </w:t>
      </w:r>
      <w:r w:rsidRPr="00E361D6">
        <w:rPr>
          <w:rFonts w:cs="Calibri"/>
          <w:szCs w:val="24"/>
        </w:rPr>
        <w:t>LEA</w:t>
      </w:r>
      <w:r w:rsidRPr="00E361D6">
        <w:rPr>
          <w:rFonts w:cs="Calibri"/>
          <w:spacing w:val="-2"/>
          <w:szCs w:val="24"/>
        </w:rPr>
        <w:t xml:space="preserve"> </w:t>
      </w:r>
      <w:r w:rsidRPr="00E361D6">
        <w:rPr>
          <w:rFonts w:cs="Calibri"/>
          <w:szCs w:val="24"/>
        </w:rPr>
        <w:t>has</w:t>
      </w:r>
      <w:r w:rsidRPr="00E361D6">
        <w:rPr>
          <w:rFonts w:cs="Calibri"/>
          <w:spacing w:val="-2"/>
          <w:szCs w:val="24"/>
        </w:rPr>
        <w:t xml:space="preserve"> </w:t>
      </w:r>
      <w:r w:rsidRPr="00E361D6">
        <w:rPr>
          <w:rFonts w:cs="Calibri"/>
          <w:szCs w:val="24"/>
        </w:rPr>
        <w:t>internal</w:t>
      </w:r>
      <w:r w:rsidRPr="00E361D6">
        <w:rPr>
          <w:rFonts w:cs="Calibri"/>
          <w:spacing w:val="-4"/>
          <w:szCs w:val="24"/>
        </w:rPr>
        <w:t xml:space="preserve"> </w:t>
      </w:r>
      <w:r w:rsidRPr="00E361D6">
        <w:rPr>
          <w:rFonts w:cs="Calibri"/>
          <w:szCs w:val="24"/>
        </w:rPr>
        <w:t>controls</w:t>
      </w:r>
      <w:r w:rsidRPr="00E361D6">
        <w:rPr>
          <w:rFonts w:cs="Calibri"/>
          <w:spacing w:val="-4"/>
          <w:szCs w:val="24"/>
        </w:rPr>
        <w:t xml:space="preserve"> </w:t>
      </w:r>
      <w:r w:rsidRPr="00E361D6">
        <w:rPr>
          <w:rFonts w:cs="Calibri"/>
          <w:szCs w:val="24"/>
        </w:rPr>
        <w:t>in</w:t>
      </w:r>
      <w:r w:rsidRPr="00E361D6">
        <w:rPr>
          <w:rFonts w:cs="Calibri"/>
          <w:spacing w:val="-5"/>
          <w:szCs w:val="24"/>
        </w:rPr>
        <w:t xml:space="preserve"> </w:t>
      </w:r>
      <w:r w:rsidRPr="00E361D6">
        <w:rPr>
          <w:rFonts w:cs="Calibri"/>
          <w:szCs w:val="24"/>
        </w:rPr>
        <w:t>place</w:t>
      </w:r>
      <w:r w:rsidRPr="00E361D6">
        <w:rPr>
          <w:rFonts w:cs="Calibri"/>
          <w:spacing w:val="-1"/>
          <w:szCs w:val="24"/>
        </w:rPr>
        <w:t xml:space="preserve"> </w:t>
      </w:r>
      <w:r w:rsidRPr="00E361D6">
        <w:rPr>
          <w:rFonts w:cs="Calibri"/>
          <w:szCs w:val="24"/>
        </w:rPr>
        <w:t>to</w:t>
      </w:r>
      <w:r w:rsidRPr="00E361D6">
        <w:rPr>
          <w:rFonts w:cs="Calibri"/>
          <w:spacing w:val="-1"/>
          <w:szCs w:val="24"/>
        </w:rPr>
        <w:t xml:space="preserve"> </w:t>
      </w:r>
      <w:r w:rsidRPr="00E361D6">
        <w:rPr>
          <w:rFonts w:cs="Calibri"/>
          <w:szCs w:val="24"/>
        </w:rPr>
        <w:t>ensure</w:t>
      </w:r>
      <w:r w:rsidRPr="00E361D6">
        <w:rPr>
          <w:rFonts w:cs="Calibri"/>
          <w:spacing w:val="-1"/>
          <w:szCs w:val="24"/>
        </w:rPr>
        <w:t xml:space="preserve"> </w:t>
      </w:r>
      <w:r w:rsidRPr="00E361D6">
        <w:rPr>
          <w:rFonts w:cs="Calibri"/>
          <w:szCs w:val="24"/>
        </w:rPr>
        <w:t xml:space="preserve">schools are compliant with federal and state statutes. </w:t>
      </w:r>
    </w:p>
    <w:p w14:paraId="7E966C44" w14:textId="77777777" w:rsidR="00E361D6" w:rsidRPr="00E361D6" w:rsidRDefault="00E361D6" w:rsidP="00E361D6">
      <w:pPr>
        <w:spacing w:after="0" w:line="240" w:lineRule="auto"/>
        <w:ind w:left="180"/>
        <w:rPr>
          <w:rFonts w:cs="Calibri"/>
          <w:szCs w:val="24"/>
        </w:rPr>
      </w:pPr>
    </w:p>
    <w:p w14:paraId="573D9155" w14:textId="1AE281B3" w:rsidR="00E361D6" w:rsidRPr="00373F05" w:rsidRDefault="00E361D6" w:rsidP="00E361D6">
      <w:pPr>
        <w:spacing w:after="0" w:line="240" w:lineRule="auto"/>
        <w:ind w:left="180"/>
        <w:rPr>
          <w:rFonts w:cs="Calibri"/>
          <w:szCs w:val="24"/>
        </w:rPr>
      </w:pPr>
      <w:r w:rsidRPr="00373F05">
        <w:rPr>
          <w:rFonts w:cs="Calibri"/>
          <w:szCs w:val="24"/>
        </w:rPr>
        <w:t xml:space="preserve">This will be completed </w:t>
      </w:r>
      <w:r w:rsidRPr="00E361D6">
        <w:rPr>
          <w:rFonts w:cs="Calibri"/>
          <w:szCs w:val="24"/>
        </w:rPr>
        <w:t>with</w:t>
      </w:r>
      <w:r w:rsidRPr="00373F05">
        <w:rPr>
          <w:rFonts w:cs="Calibri"/>
          <w:szCs w:val="24"/>
        </w:rPr>
        <w:t xml:space="preserve"> the following tasks:</w:t>
      </w:r>
    </w:p>
    <w:p w14:paraId="6FFD4151" w14:textId="77777777" w:rsidR="00E361D6" w:rsidRPr="00373F05" w:rsidRDefault="00E361D6" w:rsidP="00E361D6">
      <w:pPr>
        <w:spacing w:after="0" w:line="240" w:lineRule="auto"/>
        <w:ind w:left="180"/>
        <w:rPr>
          <w:rFonts w:cs="Calibri"/>
          <w:szCs w:val="24"/>
        </w:rPr>
      </w:pPr>
    </w:p>
    <w:p w14:paraId="61BFBFA7"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Complete a preliminary review of documents.</w:t>
      </w:r>
    </w:p>
    <w:p w14:paraId="142853FF"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 xml:space="preserve">Draft preliminary review notes with questions and/or additional document requests. </w:t>
      </w:r>
    </w:p>
    <w:p w14:paraId="6A2B0772" w14:textId="77777777" w:rsidR="00E361D6" w:rsidRPr="00373F05" w:rsidRDefault="00E361D6" w:rsidP="00E361D6">
      <w:pPr>
        <w:pStyle w:val="BodyText"/>
        <w:ind w:left="180" w:right="186" w:firstLine="0"/>
        <w:jc w:val="both"/>
        <w:rPr>
          <w:rFonts w:cs="Calibri"/>
        </w:rPr>
      </w:pPr>
      <w:r w:rsidRPr="00373F05">
        <w:rPr>
          <w:rFonts w:cs="Calibri"/>
        </w:rPr>
        <w:t>•</w:t>
      </w:r>
      <w:r w:rsidRPr="00E361D6">
        <w:rPr>
          <w:rFonts w:cs="Calibri"/>
        </w:rPr>
        <w:t xml:space="preserve"> Conduct follow-up</w:t>
      </w:r>
      <w:r w:rsidRPr="00E361D6">
        <w:rPr>
          <w:rFonts w:cs="Calibri"/>
          <w:spacing w:val="-5"/>
        </w:rPr>
        <w:t xml:space="preserve"> </w:t>
      </w:r>
      <w:r w:rsidRPr="00E361D6">
        <w:rPr>
          <w:rFonts w:cs="Calibri"/>
        </w:rPr>
        <w:t>virtual</w:t>
      </w:r>
      <w:r w:rsidRPr="00E361D6">
        <w:rPr>
          <w:rFonts w:cs="Calibri"/>
          <w:spacing w:val="-2"/>
        </w:rPr>
        <w:t xml:space="preserve"> </w:t>
      </w:r>
      <w:r w:rsidRPr="00E361D6">
        <w:rPr>
          <w:rFonts w:cs="Calibri"/>
        </w:rPr>
        <w:t>interviews</w:t>
      </w:r>
      <w:r w:rsidRPr="00E361D6">
        <w:rPr>
          <w:rFonts w:cs="Calibri"/>
          <w:spacing w:val="-4"/>
        </w:rPr>
        <w:t xml:space="preserve"> </w:t>
      </w:r>
      <w:r w:rsidRPr="00E361D6">
        <w:rPr>
          <w:rFonts w:cs="Calibri"/>
        </w:rPr>
        <w:t>and/or complete requests</w:t>
      </w:r>
      <w:r w:rsidRPr="00E361D6">
        <w:rPr>
          <w:rFonts w:cs="Calibri"/>
          <w:spacing w:val="-2"/>
        </w:rPr>
        <w:t xml:space="preserve"> </w:t>
      </w:r>
      <w:r w:rsidRPr="00E361D6">
        <w:rPr>
          <w:rFonts w:cs="Calibri"/>
        </w:rPr>
        <w:t>for</w:t>
      </w:r>
      <w:r w:rsidRPr="00E361D6">
        <w:rPr>
          <w:rFonts w:cs="Calibri"/>
          <w:spacing w:val="-4"/>
        </w:rPr>
        <w:t xml:space="preserve"> </w:t>
      </w:r>
      <w:r w:rsidRPr="00E361D6">
        <w:rPr>
          <w:rFonts w:cs="Calibri"/>
        </w:rPr>
        <w:t>additional</w:t>
      </w:r>
      <w:r w:rsidRPr="00E361D6">
        <w:rPr>
          <w:rFonts w:cs="Calibri"/>
          <w:spacing w:val="-2"/>
        </w:rPr>
        <w:t xml:space="preserve"> </w:t>
      </w:r>
      <w:r w:rsidRPr="00E361D6">
        <w:rPr>
          <w:rFonts w:cs="Calibri"/>
        </w:rPr>
        <w:t>information based</w:t>
      </w:r>
      <w:r w:rsidRPr="00E361D6">
        <w:rPr>
          <w:rFonts w:cs="Calibri"/>
          <w:spacing w:val="-2"/>
        </w:rPr>
        <w:t xml:space="preserve"> </w:t>
      </w:r>
      <w:r w:rsidRPr="00E361D6">
        <w:rPr>
          <w:rFonts w:cs="Calibri"/>
        </w:rPr>
        <w:t>on</w:t>
      </w:r>
      <w:r w:rsidRPr="00E361D6">
        <w:rPr>
          <w:rFonts w:cs="Calibri"/>
          <w:spacing w:val="-5"/>
        </w:rPr>
        <w:t xml:space="preserve"> </w:t>
      </w:r>
      <w:r w:rsidRPr="00E361D6">
        <w:rPr>
          <w:rFonts w:cs="Calibri"/>
        </w:rPr>
        <w:t>the</w:t>
      </w:r>
      <w:r w:rsidRPr="00E361D6">
        <w:rPr>
          <w:rFonts w:cs="Calibri"/>
          <w:spacing w:val="-1"/>
        </w:rPr>
        <w:t xml:space="preserve"> </w:t>
      </w:r>
      <w:r w:rsidRPr="00E361D6">
        <w:rPr>
          <w:rFonts w:cs="Calibri"/>
        </w:rPr>
        <w:t>initial</w:t>
      </w:r>
      <w:r w:rsidRPr="00E361D6">
        <w:rPr>
          <w:rFonts w:cs="Calibri"/>
          <w:spacing w:val="-2"/>
        </w:rPr>
        <w:t xml:space="preserve"> </w:t>
      </w:r>
      <w:r w:rsidRPr="00E361D6">
        <w:rPr>
          <w:rFonts w:cs="Calibri"/>
        </w:rPr>
        <w:t>review</w:t>
      </w:r>
      <w:r w:rsidRPr="00E361D6">
        <w:rPr>
          <w:rFonts w:cs="Calibri"/>
          <w:spacing w:val="-6"/>
        </w:rPr>
        <w:t xml:space="preserve"> </w:t>
      </w:r>
      <w:r w:rsidRPr="00E361D6">
        <w:rPr>
          <w:rFonts w:cs="Calibri"/>
        </w:rPr>
        <w:t>related</w:t>
      </w:r>
      <w:r w:rsidRPr="00E361D6">
        <w:rPr>
          <w:rFonts w:cs="Calibri"/>
          <w:spacing w:val="-5"/>
        </w:rPr>
        <w:t xml:space="preserve"> </w:t>
      </w:r>
      <w:r w:rsidRPr="00E361D6">
        <w:rPr>
          <w:rFonts w:cs="Calibri"/>
        </w:rPr>
        <w:t>to</w:t>
      </w:r>
      <w:r w:rsidRPr="00E361D6">
        <w:rPr>
          <w:rFonts w:cs="Calibri"/>
          <w:spacing w:val="-3"/>
        </w:rPr>
        <w:t xml:space="preserve"> </w:t>
      </w:r>
      <w:r w:rsidRPr="00E361D6">
        <w:rPr>
          <w:rFonts w:cs="Calibri"/>
        </w:rPr>
        <w:t>any</w:t>
      </w:r>
      <w:r w:rsidRPr="00E361D6">
        <w:rPr>
          <w:rFonts w:cs="Calibri"/>
          <w:spacing w:val="-1"/>
        </w:rPr>
        <w:t xml:space="preserve"> </w:t>
      </w:r>
      <w:r w:rsidRPr="00E361D6">
        <w:rPr>
          <w:rFonts w:cs="Calibri"/>
        </w:rPr>
        <w:t>policies,</w:t>
      </w:r>
      <w:r w:rsidRPr="00E361D6">
        <w:rPr>
          <w:rFonts w:cs="Calibri"/>
          <w:spacing w:val="-4"/>
        </w:rPr>
        <w:t xml:space="preserve"> </w:t>
      </w:r>
      <w:r w:rsidRPr="00E361D6">
        <w:rPr>
          <w:rFonts w:cs="Calibri"/>
        </w:rPr>
        <w:t>procedures,</w:t>
      </w:r>
      <w:r w:rsidRPr="00E361D6">
        <w:rPr>
          <w:rFonts w:cs="Calibri"/>
          <w:spacing w:val="-4"/>
        </w:rPr>
        <w:t xml:space="preserve"> </w:t>
      </w:r>
      <w:r w:rsidRPr="00E361D6">
        <w:rPr>
          <w:rFonts w:cs="Calibri"/>
        </w:rPr>
        <w:t>or</w:t>
      </w:r>
      <w:r w:rsidRPr="00E361D6">
        <w:rPr>
          <w:rFonts w:cs="Calibri"/>
          <w:spacing w:val="-2"/>
        </w:rPr>
        <w:t xml:space="preserve"> </w:t>
      </w:r>
      <w:r w:rsidRPr="00E361D6">
        <w:rPr>
          <w:rFonts w:cs="Calibri"/>
        </w:rPr>
        <w:t>practices</w:t>
      </w:r>
      <w:r w:rsidRPr="00E361D6">
        <w:rPr>
          <w:rFonts w:cs="Calibri"/>
          <w:spacing w:val="-4"/>
        </w:rPr>
        <w:t xml:space="preserve"> </w:t>
      </w:r>
      <w:r w:rsidRPr="00E361D6">
        <w:rPr>
          <w:rFonts w:cs="Calibri"/>
        </w:rPr>
        <w:t>found</w:t>
      </w:r>
      <w:r w:rsidRPr="00E361D6">
        <w:rPr>
          <w:rFonts w:cs="Calibri"/>
          <w:spacing w:val="-5"/>
        </w:rPr>
        <w:t xml:space="preserve"> </w:t>
      </w:r>
      <w:r w:rsidRPr="00E361D6">
        <w:rPr>
          <w:rFonts w:cs="Calibri"/>
        </w:rPr>
        <w:t>to</w:t>
      </w:r>
      <w:r w:rsidRPr="00E361D6">
        <w:rPr>
          <w:rFonts w:cs="Calibri"/>
          <w:spacing w:val="-1"/>
        </w:rPr>
        <w:t xml:space="preserve"> </w:t>
      </w:r>
      <w:r w:rsidRPr="00E361D6">
        <w:rPr>
          <w:rFonts w:cs="Calibri"/>
        </w:rPr>
        <w:t>be</w:t>
      </w:r>
      <w:r w:rsidRPr="00E361D6">
        <w:rPr>
          <w:rFonts w:cs="Calibri"/>
          <w:spacing w:val="-1"/>
        </w:rPr>
        <w:t xml:space="preserve"> </w:t>
      </w:r>
      <w:r w:rsidRPr="00E361D6">
        <w:rPr>
          <w:rFonts w:cs="Calibri"/>
        </w:rPr>
        <w:t>inconsistent</w:t>
      </w:r>
      <w:r w:rsidRPr="00E361D6">
        <w:rPr>
          <w:rFonts w:cs="Calibri"/>
          <w:spacing w:val="-1"/>
        </w:rPr>
        <w:t xml:space="preserve"> </w:t>
      </w:r>
      <w:r w:rsidRPr="00E361D6">
        <w:rPr>
          <w:rFonts w:cs="Calibri"/>
        </w:rPr>
        <w:t xml:space="preserve">with federal regulations or that need </w:t>
      </w:r>
      <w:r w:rsidRPr="00373F05">
        <w:rPr>
          <w:rFonts w:cs="Calibri"/>
        </w:rPr>
        <w:t xml:space="preserve">additional evidence or clarification if necessary. </w:t>
      </w:r>
    </w:p>
    <w:p w14:paraId="0FC987E5"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 xml:space="preserve">Issue a final fiscal monitoring report for approval to IDE, with a schedule of findings when/if applicable. </w:t>
      </w:r>
    </w:p>
    <w:p w14:paraId="416F09C0" w14:textId="77777777" w:rsidR="00E361D6" w:rsidRPr="00E361D6" w:rsidRDefault="00E361D6" w:rsidP="00E361D6">
      <w:pPr>
        <w:spacing w:after="0" w:line="240" w:lineRule="auto"/>
        <w:ind w:left="180"/>
        <w:rPr>
          <w:rFonts w:cs="Calibri"/>
          <w:szCs w:val="24"/>
        </w:rPr>
      </w:pPr>
      <w:r w:rsidRPr="00E361D6">
        <w:rPr>
          <w:rFonts w:cs="Calibri"/>
          <w:szCs w:val="24"/>
        </w:rPr>
        <w:t>• Issue an approved final fiscal monitoring report and applicable schedule of findings to the LEA.</w:t>
      </w:r>
    </w:p>
    <w:p w14:paraId="4FC83B2E" w14:textId="2BE47148" w:rsidR="001001B9" w:rsidRPr="00917921" w:rsidRDefault="001001B9" w:rsidP="001001B9">
      <w:pPr>
        <w:pStyle w:val="Heading2"/>
      </w:pPr>
      <w:r>
        <w:t>award basis and term</w:t>
      </w:r>
    </w:p>
    <w:p w14:paraId="78BAA4F7" w14:textId="3EF4D2C3" w:rsidR="001001B9" w:rsidRPr="00C5566D" w:rsidRDefault="00A641A3" w:rsidP="00A641A3">
      <w:proofErr w:type="gramStart"/>
      <w:r>
        <w:t>Contract</w:t>
      </w:r>
      <w:proofErr w:type="gramEnd"/>
      <w:r>
        <w:t xml:space="preserve"> range has been approved from </w:t>
      </w:r>
      <w:r w:rsidR="003B2B24">
        <w:t xml:space="preserve">$70 per hour </w:t>
      </w:r>
      <w:r>
        <w:t xml:space="preserve">commensurate with education and contractor’s experience. This contract is fully </w:t>
      </w:r>
      <w:r w:rsidR="00B4580A">
        <w:t>burdened,</w:t>
      </w:r>
      <w:r>
        <w:t xml:space="preserve"> and no benefits package is included. </w:t>
      </w:r>
      <w:proofErr w:type="gramStart"/>
      <w:r>
        <w:t>Contractor</w:t>
      </w:r>
      <w:proofErr w:type="gramEnd"/>
      <w:r>
        <w:t xml:space="preserve"> will be required to supply evidence of Commercial General Liability and Professional Liability </w:t>
      </w:r>
      <w:r w:rsidR="00B4580A">
        <w:t>insurance and</w:t>
      </w:r>
      <w:r>
        <w:t xml:space="preserve"> may be required to supply additional insurance depending upon the Scope of Work. </w:t>
      </w:r>
    </w:p>
    <w:p w14:paraId="6A73C136" w14:textId="620B1F82" w:rsidR="00463B01" w:rsidRPr="00917921" w:rsidRDefault="00463B01" w:rsidP="00463B01">
      <w:pPr>
        <w:pStyle w:val="Heading2"/>
      </w:pPr>
      <w:r>
        <w:lastRenderedPageBreak/>
        <w:t>required submittal items</w:t>
      </w:r>
    </w:p>
    <w:p w14:paraId="75C822D5" w14:textId="7280DE12" w:rsidR="00463B01" w:rsidRDefault="00B4580A" w:rsidP="00B4580A">
      <w:pPr>
        <w:pStyle w:val="ListParagraph"/>
        <w:numPr>
          <w:ilvl w:val="0"/>
          <w:numId w:val="30"/>
        </w:numPr>
      </w:pPr>
      <w:r>
        <w:t>Letter of Interest</w:t>
      </w:r>
    </w:p>
    <w:p w14:paraId="6E04A94F" w14:textId="2639DB9E" w:rsidR="00B4580A" w:rsidRDefault="00B4580A" w:rsidP="00B4580A">
      <w:pPr>
        <w:pStyle w:val="ListParagraph"/>
        <w:numPr>
          <w:ilvl w:val="0"/>
          <w:numId w:val="30"/>
        </w:numPr>
      </w:pPr>
      <w:r>
        <w:t>Resume or Curriculum Vitae</w:t>
      </w:r>
    </w:p>
    <w:p w14:paraId="39DECF8A" w14:textId="2E38E647" w:rsidR="00837845" w:rsidRDefault="00B4580A" w:rsidP="00837845">
      <w:pPr>
        <w:rPr>
          <w:b/>
          <w:bCs/>
          <w:color w:val="17365D" w:themeColor="text2"/>
          <w:sz w:val="28"/>
          <w:szCs w:val="28"/>
        </w:rPr>
      </w:pPr>
      <w:r w:rsidRPr="00B4580A">
        <w:rPr>
          <w:b/>
          <w:bCs/>
          <w:color w:val="17365D" w:themeColor="text2"/>
          <w:sz w:val="28"/>
          <w:szCs w:val="28"/>
        </w:rPr>
        <w:t>M</w:t>
      </w:r>
      <w:r w:rsidR="00837845">
        <w:rPr>
          <w:b/>
          <w:bCs/>
          <w:color w:val="17365D" w:themeColor="text2"/>
          <w:sz w:val="28"/>
          <w:szCs w:val="28"/>
        </w:rPr>
        <w:t>INIMUM QUALIFICAITONS</w:t>
      </w:r>
    </w:p>
    <w:p w14:paraId="0D47A31B" w14:textId="77777777" w:rsid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Technical Skills &amp; Knowledge:</w:t>
      </w:r>
    </w:p>
    <w:p w14:paraId="6A36B3E4" w14:textId="7ECCAE4C"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Financial Reporting:</w:t>
      </w:r>
    </w:p>
    <w:p w14:paraId="4FA023B8"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Understanding and interpreting financial statements, preparing budget reports, and ensuring compliance with reporting requirements. </w:t>
      </w:r>
    </w:p>
    <w:p w14:paraId="4D872747"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Budgeting:</w:t>
      </w:r>
    </w:p>
    <w:p w14:paraId="54FABC0A"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Developing and managing budgets, understanding revenue and expenditure flows, and making informed financial decisions. </w:t>
      </w:r>
    </w:p>
    <w:p w14:paraId="320C9F07"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Grant Management:</w:t>
      </w:r>
    </w:p>
    <w:p w14:paraId="293DAFC1"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Expertise in grant applications, compliance, and reporting related to federal, state, and local grants. </w:t>
      </w:r>
    </w:p>
    <w:p w14:paraId="3E8C3B48"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Internal Controls:</w:t>
      </w:r>
    </w:p>
    <w:p w14:paraId="24CB0D87"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Understanding and assessing internal controls to prevent fraud and ensure financial integrity. </w:t>
      </w:r>
    </w:p>
    <w:p w14:paraId="1CD2BBC0"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Accounting Principles:</w:t>
      </w:r>
    </w:p>
    <w:p w14:paraId="6065F3C7" w14:textId="5F3826ED" w:rsidR="00837845" w:rsidRPr="00837845" w:rsidRDefault="00837845" w:rsidP="00AC61E7">
      <w:pPr>
        <w:numPr>
          <w:ilvl w:val="0"/>
          <w:numId w:val="34"/>
        </w:numPr>
        <w:spacing w:after="0" w:line="240" w:lineRule="auto"/>
        <w:rPr>
          <w:rFonts w:eastAsia="Aptos"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Knowledge of generally accepted accounting principles (GAAP) and their application to education finance. </w:t>
      </w:r>
    </w:p>
    <w:p w14:paraId="4245FFF2"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Analytical and Problem-Solving Skills:</w:t>
      </w:r>
    </w:p>
    <w:p w14:paraId="787D1DEF"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Troubleshooting: </w:t>
      </w:r>
    </w:p>
    <w:p w14:paraId="72F2578D"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Capacity to diagnose financial issues and develop effective solutions. </w:t>
      </w:r>
    </w:p>
    <w:p w14:paraId="00EBE689"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Interpersonal and Leadership Skills:</w:t>
      </w:r>
    </w:p>
    <w:p w14:paraId="74F7D083"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Communication:</w:t>
      </w:r>
    </w:p>
    <w:p w14:paraId="62071B03"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proofErr w:type="gramStart"/>
      <w:r w:rsidRPr="00837845">
        <w:rPr>
          <w:rFonts w:eastAsia="Times New Roman" w:cs="Calibri"/>
          <w:color w:val="auto"/>
          <w:sz w:val="22"/>
          <w:szCs w:val="22"/>
          <w:lang w:eastAsia="en-US"/>
          <w14:ligatures w14:val="standardContextual"/>
        </w:rPr>
        <w:t>Ability</w:t>
      </w:r>
      <w:proofErr w:type="gramEnd"/>
      <w:r w:rsidRPr="00837845">
        <w:rPr>
          <w:rFonts w:eastAsia="Times New Roman" w:cs="Calibri"/>
          <w:color w:val="auto"/>
          <w:sz w:val="22"/>
          <w:szCs w:val="22"/>
          <w:lang w:eastAsia="en-US"/>
          <w14:ligatures w14:val="standardContextual"/>
        </w:rPr>
        <w:t xml:space="preserve"> to effectively communicate complex financial information to LEA staff and stakeholders, both verbally and in writing.</w:t>
      </w:r>
    </w:p>
    <w:p w14:paraId="45A43D59"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Collaboration:</w:t>
      </w:r>
    </w:p>
    <w:p w14:paraId="48D25174"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Capacity to work effectively with LEA staff, administrators, and other parties to ensure fiscal integrity.</w:t>
      </w:r>
    </w:p>
    <w:p w14:paraId="0F542DA3"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Other Important Qualities:</w:t>
      </w:r>
    </w:p>
    <w:p w14:paraId="2B677EF0"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Detail-Oriented: </w:t>
      </w:r>
    </w:p>
    <w:p w14:paraId="3C7D83EC" w14:textId="77777777" w:rsidR="00837845" w:rsidRPr="00837845" w:rsidRDefault="00837845" w:rsidP="00837845">
      <w:pPr>
        <w:numPr>
          <w:ilvl w:val="0"/>
          <w:numId w:val="35"/>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Careful attention to detail to ensure accuracy and compliance.</w:t>
      </w:r>
    </w:p>
    <w:p w14:paraId="285FC308"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Adaptable: </w:t>
      </w:r>
    </w:p>
    <w:p w14:paraId="7CC9E551" w14:textId="77777777" w:rsidR="00837845" w:rsidRPr="00837845" w:rsidRDefault="00837845" w:rsidP="00837845">
      <w:pPr>
        <w:numPr>
          <w:ilvl w:val="0"/>
          <w:numId w:val="36"/>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Ability to adjust to changing circumstances and new regulations.</w:t>
      </w:r>
    </w:p>
    <w:p w14:paraId="26364C97" w14:textId="5C47F8DC" w:rsidR="001001B9" w:rsidRPr="00917921" w:rsidRDefault="001001B9" w:rsidP="001001B9">
      <w:pPr>
        <w:pStyle w:val="Heading2"/>
      </w:pPr>
      <w:r>
        <w:t>response</w:t>
      </w:r>
    </w:p>
    <w:p w14:paraId="7FA830FB" w14:textId="0A60DDF0" w:rsidR="00E404FD" w:rsidRPr="00E404FD" w:rsidRDefault="001001B9" w:rsidP="00E404FD">
      <w:r>
        <w:t xml:space="preserve">Submit </w:t>
      </w:r>
      <w:r w:rsidR="00463B01">
        <w:t xml:space="preserve">all Required Submittal Items </w:t>
      </w:r>
      <w:r>
        <w:t>to</w:t>
      </w:r>
      <w:r w:rsidR="00B4580A">
        <w:t xml:space="preserve"> </w:t>
      </w:r>
      <w:hyperlink r:id="rId11" w:history="1">
        <w:r w:rsidR="00E05134" w:rsidRPr="00924B63">
          <w:rPr>
            <w:rStyle w:val="Hyperlink"/>
          </w:rPr>
          <w:t>lpofelskirosa@sde.idaho.gov</w:t>
        </w:r>
      </w:hyperlink>
      <w:r w:rsidR="00E05134">
        <w:t xml:space="preserve"> </w:t>
      </w:r>
      <w:r>
        <w:t>prior to the deadline established above.</w:t>
      </w:r>
    </w:p>
    <w:sectPr w:rsidR="00E404FD" w:rsidRPr="00E404FD" w:rsidSect="008A049F">
      <w:headerReference w:type="default" r:id="rId12"/>
      <w:footerReference w:type="default" r:id="rId13"/>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56D9" w14:textId="77777777" w:rsidR="008021ED" w:rsidRDefault="008021ED">
      <w:pPr>
        <w:spacing w:after="0" w:line="240" w:lineRule="auto"/>
      </w:pPr>
      <w:r>
        <w:separator/>
      </w:r>
    </w:p>
  </w:endnote>
  <w:endnote w:type="continuationSeparator" w:id="0">
    <w:p w14:paraId="15AE1BE2" w14:textId="77777777" w:rsidR="008021ED" w:rsidRDefault="008021ED">
      <w:pPr>
        <w:spacing w:after="0" w:line="240" w:lineRule="auto"/>
      </w:pPr>
      <w:r>
        <w:continuationSeparator/>
      </w:r>
    </w:p>
  </w:endnote>
  <w:endnote w:type="continuationNotice" w:id="1">
    <w:p w14:paraId="18CE6419" w14:textId="77777777" w:rsidR="008021ED" w:rsidRDefault="00802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3BE" w14:textId="10AFCF65" w:rsidR="00D96187" w:rsidRPr="005C368C" w:rsidRDefault="008A2AD8" w:rsidP="003328C8">
    <w:pPr>
      <w:pStyle w:val="Footer"/>
      <w:pBdr>
        <w:top w:val="single" w:sz="4" w:space="1" w:color="153156" w:themeColor="background2" w:themeShade="40"/>
      </w:pBdr>
    </w:pPr>
    <w:r>
      <w:rPr>
        <w:color w:val="5C5C5C" w:themeColor="text1" w:themeTint="BF"/>
        <w:sz w:val="16"/>
      </w:rPr>
      <w:t>Updated May 2025</w:t>
    </w:r>
    <w:r w:rsidR="00D96187" w:rsidRPr="00C238E8">
      <w:rPr>
        <w:color w:val="5C5C5C" w:themeColor="text1" w:themeTint="BF"/>
        <w:sz w:val="16"/>
      </w:rPr>
      <w:ptab w:relativeTo="margin" w:alignment="right" w:leader="none"/>
    </w:r>
    <w:r w:rsidR="00CA469D" w:rsidRPr="00C238E8">
      <w:rPr>
        <w:rStyle w:val="Heading2Char"/>
        <w:color w:val="5C5C5C" w:themeColor="text1" w:themeTint="BF"/>
        <w:sz w:val="16"/>
      </w:rPr>
      <w:t xml:space="preserve"> </w:t>
    </w:r>
    <w:r w:rsidR="00A641A3">
      <w:rPr>
        <w:rStyle w:val="Heading2Char"/>
        <w:rFonts w:ascii="Open Sans Semibold" w:hAnsi="Open Sans Semibold" w:cs="Open Sans Semibold"/>
        <w:color w:val="153156" w:themeColor="background2" w:themeShade="40"/>
        <w:sz w:val="18"/>
        <w:szCs w:val="18"/>
      </w:rPr>
      <w:t>Contracting opportunity</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 xml:space="preserve">special education fiscal monitoring </w:t>
    </w:r>
  </w:p>
  <w:p w14:paraId="5CB0BC86"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627F" w14:textId="77777777" w:rsidR="008021ED" w:rsidRDefault="008021ED">
      <w:pPr>
        <w:spacing w:after="0" w:line="240" w:lineRule="auto"/>
      </w:pPr>
      <w:r>
        <w:separator/>
      </w:r>
    </w:p>
  </w:footnote>
  <w:footnote w:type="continuationSeparator" w:id="0">
    <w:p w14:paraId="6F05338E" w14:textId="77777777" w:rsidR="008021ED" w:rsidRDefault="008021ED">
      <w:pPr>
        <w:spacing w:after="0" w:line="240" w:lineRule="auto"/>
      </w:pPr>
      <w:r>
        <w:continuationSeparator/>
      </w:r>
    </w:p>
  </w:footnote>
  <w:footnote w:type="continuationNotice" w:id="1">
    <w:p w14:paraId="17DFDB6E" w14:textId="77777777" w:rsidR="008021ED" w:rsidRDefault="00802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14F" w14:textId="77777777" w:rsidR="00424314" w:rsidRDefault="00646404" w:rsidP="001978AF">
    <w:pPr>
      <w:pStyle w:val="Header"/>
      <w:spacing w:after="360"/>
      <w:ind w:left="-274"/>
      <w:jc w:val="right"/>
    </w:pPr>
    <w:r>
      <w:t xml:space="preserve">  </w:t>
    </w:r>
    <w:r w:rsidR="00DC5D70">
      <w:rPr>
        <w:noProof/>
      </w:rPr>
      <w:drawing>
        <wp:inline distT="0" distB="0" distL="0" distR="0" wp14:anchorId="356D10D4" wp14:editId="342B5E72">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6747F"/>
    <w:multiLevelType w:val="hybridMultilevel"/>
    <w:tmpl w:val="D94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1470"/>
    <w:multiLevelType w:val="hybridMultilevel"/>
    <w:tmpl w:val="9796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939"/>
    <w:multiLevelType w:val="hybridMultilevel"/>
    <w:tmpl w:val="EF64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2C9D"/>
    <w:multiLevelType w:val="hybridMultilevel"/>
    <w:tmpl w:val="6D0E39C0"/>
    <w:lvl w:ilvl="0" w:tplc="FBAA71AC">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1" w:tplc="3DAEA522">
      <w:numFmt w:val="bullet"/>
      <w:lvlText w:val="•"/>
      <w:lvlJc w:val="left"/>
      <w:pPr>
        <w:ind w:left="1900" w:hanging="721"/>
      </w:pPr>
      <w:rPr>
        <w:rFonts w:ascii="Segoe UI" w:eastAsia="Segoe UI" w:hAnsi="Segoe UI" w:cs="Segoe UI" w:hint="default"/>
        <w:b w:val="0"/>
        <w:bCs w:val="0"/>
        <w:i w:val="0"/>
        <w:iCs w:val="0"/>
        <w:w w:val="100"/>
        <w:sz w:val="22"/>
        <w:szCs w:val="22"/>
        <w:lang w:val="en-US" w:eastAsia="en-US" w:bidi="ar-SA"/>
      </w:rPr>
    </w:lvl>
    <w:lvl w:ilvl="2" w:tplc="B50AC2EA">
      <w:numFmt w:val="bullet"/>
      <w:lvlText w:val="•"/>
      <w:lvlJc w:val="left"/>
      <w:pPr>
        <w:ind w:left="2875" w:hanging="721"/>
      </w:pPr>
      <w:rPr>
        <w:rFonts w:hint="default"/>
        <w:lang w:val="en-US" w:eastAsia="en-US" w:bidi="ar-SA"/>
      </w:rPr>
    </w:lvl>
    <w:lvl w:ilvl="3" w:tplc="430803E4">
      <w:numFmt w:val="bullet"/>
      <w:lvlText w:val="•"/>
      <w:lvlJc w:val="left"/>
      <w:pPr>
        <w:ind w:left="3851" w:hanging="721"/>
      </w:pPr>
      <w:rPr>
        <w:rFonts w:hint="default"/>
        <w:lang w:val="en-US" w:eastAsia="en-US" w:bidi="ar-SA"/>
      </w:rPr>
    </w:lvl>
    <w:lvl w:ilvl="4" w:tplc="8DB02182">
      <w:numFmt w:val="bullet"/>
      <w:lvlText w:val="•"/>
      <w:lvlJc w:val="left"/>
      <w:pPr>
        <w:ind w:left="4826" w:hanging="721"/>
      </w:pPr>
      <w:rPr>
        <w:rFonts w:hint="default"/>
        <w:lang w:val="en-US" w:eastAsia="en-US" w:bidi="ar-SA"/>
      </w:rPr>
    </w:lvl>
    <w:lvl w:ilvl="5" w:tplc="038AFF64">
      <w:numFmt w:val="bullet"/>
      <w:lvlText w:val="•"/>
      <w:lvlJc w:val="left"/>
      <w:pPr>
        <w:ind w:left="5802" w:hanging="721"/>
      </w:pPr>
      <w:rPr>
        <w:rFonts w:hint="default"/>
        <w:lang w:val="en-US" w:eastAsia="en-US" w:bidi="ar-SA"/>
      </w:rPr>
    </w:lvl>
    <w:lvl w:ilvl="6" w:tplc="58DECD02">
      <w:numFmt w:val="bullet"/>
      <w:lvlText w:val="•"/>
      <w:lvlJc w:val="left"/>
      <w:pPr>
        <w:ind w:left="6777" w:hanging="721"/>
      </w:pPr>
      <w:rPr>
        <w:rFonts w:hint="default"/>
        <w:lang w:val="en-US" w:eastAsia="en-US" w:bidi="ar-SA"/>
      </w:rPr>
    </w:lvl>
    <w:lvl w:ilvl="7" w:tplc="410E1CA4">
      <w:numFmt w:val="bullet"/>
      <w:lvlText w:val="•"/>
      <w:lvlJc w:val="left"/>
      <w:pPr>
        <w:ind w:left="7753" w:hanging="721"/>
      </w:pPr>
      <w:rPr>
        <w:rFonts w:hint="default"/>
        <w:lang w:val="en-US" w:eastAsia="en-US" w:bidi="ar-SA"/>
      </w:rPr>
    </w:lvl>
    <w:lvl w:ilvl="8" w:tplc="4A52A202">
      <w:numFmt w:val="bullet"/>
      <w:lvlText w:val="•"/>
      <w:lvlJc w:val="left"/>
      <w:pPr>
        <w:ind w:left="8728" w:hanging="721"/>
      </w:pPr>
      <w:rPr>
        <w:rFonts w:hint="default"/>
        <w:lang w:val="en-US" w:eastAsia="en-US" w:bidi="ar-SA"/>
      </w:r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2C2611"/>
    <w:multiLevelType w:val="hybridMultilevel"/>
    <w:tmpl w:val="F97A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02ACD"/>
    <w:multiLevelType w:val="hybridMultilevel"/>
    <w:tmpl w:val="4B50A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312ED"/>
    <w:multiLevelType w:val="hybridMultilevel"/>
    <w:tmpl w:val="6F8C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2305">
    <w:abstractNumId w:val="0"/>
  </w:num>
  <w:num w:numId="2" w16cid:durableId="1994336548">
    <w:abstractNumId w:val="29"/>
  </w:num>
  <w:num w:numId="3" w16cid:durableId="555550997">
    <w:abstractNumId w:val="29"/>
    <w:lvlOverride w:ilvl="0">
      <w:startOverride w:val="1"/>
    </w:lvlOverride>
  </w:num>
  <w:num w:numId="4" w16cid:durableId="1844008980">
    <w:abstractNumId w:val="32"/>
  </w:num>
  <w:num w:numId="5" w16cid:durableId="639726828">
    <w:abstractNumId w:val="24"/>
  </w:num>
  <w:num w:numId="6" w16cid:durableId="1633517048">
    <w:abstractNumId w:val="28"/>
  </w:num>
  <w:num w:numId="7" w16cid:durableId="886453340">
    <w:abstractNumId w:val="9"/>
  </w:num>
  <w:num w:numId="8" w16cid:durableId="1014961135">
    <w:abstractNumId w:val="19"/>
  </w:num>
  <w:num w:numId="9" w16cid:durableId="1548951053">
    <w:abstractNumId w:val="27"/>
  </w:num>
  <w:num w:numId="10" w16cid:durableId="1541897086">
    <w:abstractNumId w:val="26"/>
  </w:num>
  <w:num w:numId="11" w16cid:durableId="720978774">
    <w:abstractNumId w:val="5"/>
  </w:num>
  <w:num w:numId="12" w16cid:durableId="2021856901">
    <w:abstractNumId w:val="23"/>
  </w:num>
  <w:num w:numId="13" w16cid:durableId="1635865479">
    <w:abstractNumId w:val="4"/>
  </w:num>
  <w:num w:numId="14" w16cid:durableId="1930038881">
    <w:abstractNumId w:val="31"/>
  </w:num>
  <w:num w:numId="15" w16cid:durableId="184057602">
    <w:abstractNumId w:val="22"/>
  </w:num>
  <w:num w:numId="16" w16cid:durableId="824247289">
    <w:abstractNumId w:val="15"/>
  </w:num>
  <w:num w:numId="17" w16cid:durableId="806972491">
    <w:abstractNumId w:val="21"/>
  </w:num>
  <w:num w:numId="18" w16cid:durableId="814376443">
    <w:abstractNumId w:val="6"/>
  </w:num>
  <w:num w:numId="19" w16cid:durableId="1421948217">
    <w:abstractNumId w:val="12"/>
  </w:num>
  <w:num w:numId="20" w16cid:durableId="1492137695">
    <w:abstractNumId w:val="18"/>
  </w:num>
  <w:num w:numId="21" w16cid:durableId="335041884">
    <w:abstractNumId w:val="8"/>
  </w:num>
  <w:num w:numId="22" w16cid:durableId="1305044914">
    <w:abstractNumId w:val="30"/>
  </w:num>
  <w:num w:numId="23" w16cid:durableId="558322888">
    <w:abstractNumId w:val="14"/>
  </w:num>
  <w:num w:numId="24" w16cid:durableId="921140911">
    <w:abstractNumId w:val="34"/>
  </w:num>
  <w:num w:numId="25" w16cid:durableId="606929402">
    <w:abstractNumId w:val="11"/>
  </w:num>
  <w:num w:numId="26" w16cid:durableId="1989238435">
    <w:abstractNumId w:val="25"/>
  </w:num>
  <w:num w:numId="27" w16cid:durableId="268196438">
    <w:abstractNumId w:val="33"/>
  </w:num>
  <w:num w:numId="28" w16cid:durableId="653141368">
    <w:abstractNumId w:val="13"/>
  </w:num>
  <w:num w:numId="29" w16cid:durableId="1349287244">
    <w:abstractNumId w:val="10"/>
  </w:num>
  <w:num w:numId="30" w16cid:durableId="1481920126">
    <w:abstractNumId w:val="2"/>
  </w:num>
  <w:num w:numId="31" w16cid:durableId="2080208358">
    <w:abstractNumId w:val="7"/>
  </w:num>
  <w:num w:numId="32" w16cid:durableId="1810130380">
    <w:abstractNumId w:val="1"/>
  </w:num>
  <w:num w:numId="33" w16cid:durableId="1336880622">
    <w:abstractNumId w:val="3"/>
  </w:num>
  <w:num w:numId="34" w16cid:durableId="422454193">
    <w:abstractNumId w:val="16"/>
  </w:num>
  <w:num w:numId="35" w16cid:durableId="343633148">
    <w:abstractNumId w:val="17"/>
  </w:num>
  <w:num w:numId="36" w16cid:durableId="522793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C79E4"/>
    <w:rsid w:val="000D004F"/>
    <w:rsid w:val="0010006A"/>
    <w:rsid w:val="001001B9"/>
    <w:rsid w:val="00103DBC"/>
    <w:rsid w:val="00112D4A"/>
    <w:rsid w:val="00115B80"/>
    <w:rsid w:val="001168C0"/>
    <w:rsid w:val="001274DD"/>
    <w:rsid w:val="00154031"/>
    <w:rsid w:val="00161C6B"/>
    <w:rsid w:val="00164A50"/>
    <w:rsid w:val="00174906"/>
    <w:rsid w:val="00180F84"/>
    <w:rsid w:val="0018288A"/>
    <w:rsid w:val="00186929"/>
    <w:rsid w:val="00196761"/>
    <w:rsid w:val="001978AF"/>
    <w:rsid w:val="001A57ED"/>
    <w:rsid w:val="001B4B0B"/>
    <w:rsid w:val="001B5314"/>
    <w:rsid w:val="001D1C70"/>
    <w:rsid w:val="001F5404"/>
    <w:rsid w:val="0022341D"/>
    <w:rsid w:val="00241954"/>
    <w:rsid w:val="00245FA3"/>
    <w:rsid w:val="0025689F"/>
    <w:rsid w:val="0026476C"/>
    <w:rsid w:val="0026570B"/>
    <w:rsid w:val="00281739"/>
    <w:rsid w:val="00287B0B"/>
    <w:rsid w:val="0029223D"/>
    <w:rsid w:val="002C4235"/>
    <w:rsid w:val="002C6E2B"/>
    <w:rsid w:val="002D14F2"/>
    <w:rsid w:val="002F1BB5"/>
    <w:rsid w:val="003123D4"/>
    <w:rsid w:val="003328C8"/>
    <w:rsid w:val="00343BC7"/>
    <w:rsid w:val="00347EBE"/>
    <w:rsid w:val="00362647"/>
    <w:rsid w:val="00385714"/>
    <w:rsid w:val="003A0E14"/>
    <w:rsid w:val="003A5AAF"/>
    <w:rsid w:val="003B2B24"/>
    <w:rsid w:val="003D0540"/>
    <w:rsid w:val="003D5F75"/>
    <w:rsid w:val="00424314"/>
    <w:rsid w:val="00463B01"/>
    <w:rsid w:val="004667B3"/>
    <w:rsid w:val="00470408"/>
    <w:rsid w:val="00490228"/>
    <w:rsid w:val="00492A4E"/>
    <w:rsid w:val="004A3B49"/>
    <w:rsid w:val="004C6DC1"/>
    <w:rsid w:val="004E05E7"/>
    <w:rsid w:val="00510035"/>
    <w:rsid w:val="00550124"/>
    <w:rsid w:val="005538F4"/>
    <w:rsid w:val="005A104F"/>
    <w:rsid w:val="005B1976"/>
    <w:rsid w:val="005F0046"/>
    <w:rsid w:val="005F2FD9"/>
    <w:rsid w:val="00614F2E"/>
    <w:rsid w:val="00637DF6"/>
    <w:rsid w:val="006460A3"/>
    <w:rsid w:val="00646404"/>
    <w:rsid w:val="0066385B"/>
    <w:rsid w:val="006C12B0"/>
    <w:rsid w:val="00715120"/>
    <w:rsid w:val="007334DA"/>
    <w:rsid w:val="0076640C"/>
    <w:rsid w:val="00775054"/>
    <w:rsid w:val="0077787B"/>
    <w:rsid w:val="00791D1B"/>
    <w:rsid w:val="007E114F"/>
    <w:rsid w:val="008021ED"/>
    <w:rsid w:val="00807835"/>
    <w:rsid w:val="00837845"/>
    <w:rsid w:val="00845BDF"/>
    <w:rsid w:val="00853C51"/>
    <w:rsid w:val="00867EB7"/>
    <w:rsid w:val="00872142"/>
    <w:rsid w:val="00891DCB"/>
    <w:rsid w:val="0089512B"/>
    <w:rsid w:val="0089514C"/>
    <w:rsid w:val="008A049F"/>
    <w:rsid w:val="008A2AD8"/>
    <w:rsid w:val="008B16D9"/>
    <w:rsid w:val="008C4FA5"/>
    <w:rsid w:val="009057E8"/>
    <w:rsid w:val="009079C9"/>
    <w:rsid w:val="00924BE8"/>
    <w:rsid w:val="009262F6"/>
    <w:rsid w:val="00940C28"/>
    <w:rsid w:val="00944B88"/>
    <w:rsid w:val="00956C1B"/>
    <w:rsid w:val="00976BFB"/>
    <w:rsid w:val="009A4025"/>
    <w:rsid w:val="00A01BFA"/>
    <w:rsid w:val="00A052A2"/>
    <w:rsid w:val="00A10162"/>
    <w:rsid w:val="00A16E07"/>
    <w:rsid w:val="00A641A3"/>
    <w:rsid w:val="00A87896"/>
    <w:rsid w:val="00AB2FC4"/>
    <w:rsid w:val="00AB4310"/>
    <w:rsid w:val="00AB724D"/>
    <w:rsid w:val="00AD1E5A"/>
    <w:rsid w:val="00AD4B8D"/>
    <w:rsid w:val="00AE0F6C"/>
    <w:rsid w:val="00AF7E80"/>
    <w:rsid w:val="00B12084"/>
    <w:rsid w:val="00B33BBD"/>
    <w:rsid w:val="00B36BC8"/>
    <w:rsid w:val="00B4580A"/>
    <w:rsid w:val="00B565A2"/>
    <w:rsid w:val="00B82E2B"/>
    <w:rsid w:val="00B9639E"/>
    <w:rsid w:val="00BA29F5"/>
    <w:rsid w:val="00BB7C99"/>
    <w:rsid w:val="00BC3467"/>
    <w:rsid w:val="00C067DD"/>
    <w:rsid w:val="00C238E8"/>
    <w:rsid w:val="00C318EC"/>
    <w:rsid w:val="00C53AE9"/>
    <w:rsid w:val="00C55449"/>
    <w:rsid w:val="00C5566D"/>
    <w:rsid w:val="00C77745"/>
    <w:rsid w:val="00C807B2"/>
    <w:rsid w:val="00C81D83"/>
    <w:rsid w:val="00C96EF5"/>
    <w:rsid w:val="00CA2966"/>
    <w:rsid w:val="00CA469D"/>
    <w:rsid w:val="00CA792B"/>
    <w:rsid w:val="00CB7368"/>
    <w:rsid w:val="00CC33FF"/>
    <w:rsid w:val="00CD072C"/>
    <w:rsid w:val="00CE5D9B"/>
    <w:rsid w:val="00CF4EC4"/>
    <w:rsid w:val="00D022E5"/>
    <w:rsid w:val="00D34780"/>
    <w:rsid w:val="00D722E5"/>
    <w:rsid w:val="00D96187"/>
    <w:rsid w:val="00DC5D70"/>
    <w:rsid w:val="00DE52FA"/>
    <w:rsid w:val="00DF27A6"/>
    <w:rsid w:val="00E05134"/>
    <w:rsid w:val="00E236A0"/>
    <w:rsid w:val="00E2550E"/>
    <w:rsid w:val="00E361D6"/>
    <w:rsid w:val="00E404FD"/>
    <w:rsid w:val="00E80235"/>
    <w:rsid w:val="00EB2D92"/>
    <w:rsid w:val="00EC4660"/>
    <w:rsid w:val="00ED0AC9"/>
    <w:rsid w:val="00ED76D3"/>
    <w:rsid w:val="00EF6B01"/>
    <w:rsid w:val="00F144BF"/>
    <w:rsid w:val="00F174FF"/>
    <w:rsid w:val="00F3077F"/>
    <w:rsid w:val="00F548FB"/>
    <w:rsid w:val="00F559D9"/>
    <w:rsid w:val="00F55C2C"/>
    <w:rsid w:val="00F775BF"/>
    <w:rsid w:val="00F814F1"/>
    <w:rsid w:val="00F81663"/>
    <w:rsid w:val="00F94617"/>
    <w:rsid w:val="00F94D3A"/>
    <w:rsid w:val="00FA5BEA"/>
    <w:rsid w:val="00FB4A46"/>
    <w:rsid w:val="00FC72DE"/>
    <w:rsid w:val="00FC7748"/>
    <w:rsid w:val="00FF1031"/>
    <w:rsid w:val="1D5EF644"/>
    <w:rsid w:val="44D58608"/>
    <w:rsid w:val="464D4565"/>
    <w:rsid w:val="65129304"/>
    <w:rsid w:val="6C479955"/>
    <w:rsid w:val="7C03E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AFC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1"/>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character" w:styleId="UnresolvedMention">
    <w:name w:val="Unresolved Mention"/>
    <w:basedOn w:val="DefaultParagraphFont"/>
    <w:uiPriority w:val="99"/>
    <w:semiHidden/>
    <w:unhideWhenUsed/>
    <w:rsid w:val="001001B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olor w:val="3B3B3B" w:themeColor="text1" w:themeTint="E6"/>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EC4"/>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831">
      <w:bodyDiv w:val="1"/>
      <w:marLeft w:val="0"/>
      <w:marRight w:val="0"/>
      <w:marTop w:val="0"/>
      <w:marBottom w:val="0"/>
      <w:divBdr>
        <w:top w:val="none" w:sz="0" w:space="0" w:color="auto"/>
        <w:left w:val="none" w:sz="0" w:space="0" w:color="auto"/>
        <w:bottom w:val="none" w:sz="0" w:space="0" w:color="auto"/>
        <w:right w:val="none" w:sz="0" w:space="0" w:color="auto"/>
      </w:divBdr>
    </w:div>
    <w:div w:id="100145452">
      <w:bodyDiv w:val="1"/>
      <w:marLeft w:val="0"/>
      <w:marRight w:val="0"/>
      <w:marTop w:val="0"/>
      <w:marBottom w:val="0"/>
      <w:divBdr>
        <w:top w:val="none" w:sz="0" w:space="0" w:color="auto"/>
        <w:left w:val="none" w:sz="0" w:space="0" w:color="auto"/>
        <w:bottom w:val="none" w:sz="0" w:space="0" w:color="auto"/>
        <w:right w:val="none" w:sz="0" w:space="0" w:color="auto"/>
      </w:divBdr>
    </w:div>
    <w:div w:id="121967994">
      <w:bodyDiv w:val="1"/>
      <w:marLeft w:val="0"/>
      <w:marRight w:val="0"/>
      <w:marTop w:val="0"/>
      <w:marBottom w:val="0"/>
      <w:divBdr>
        <w:top w:val="none" w:sz="0" w:space="0" w:color="auto"/>
        <w:left w:val="none" w:sz="0" w:space="0" w:color="auto"/>
        <w:bottom w:val="none" w:sz="0" w:space="0" w:color="auto"/>
        <w:right w:val="none" w:sz="0" w:space="0" w:color="auto"/>
      </w:divBdr>
    </w:div>
    <w:div w:id="376049670">
      <w:bodyDiv w:val="1"/>
      <w:marLeft w:val="0"/>
      <w:marRight w:val="0"/>
      <w:marTop w:val="0"/>
      <w:marBottom w:val="0"/>
      <w:divBdr>
        <w:top w:val="none" w:sz="0" w:space="0" w:color="auto"/>
        <w:left w:val="none" w:sz="0" w:space="0" w:color="auto"/>
        <w:bottom w:val="none" w:sz="0" w:space="0" w:color="auto"/>
        <w:right w:val="none" w:sz="0" w:space="0" w:color="auto"/>
      </w:divBdr>
    </w:div>
    <w:div w:id="396516928">
      <w:bodyDiv w:val="1"/>
      <w:marLeft w:val="0"/>
      <w:marRight w:val="0"/>
      <w:marTop w:val="0"/>
      <w:marBottom w:val="0"/>
      <w:divBdr>
        <w:top w:val="none" w:sz="0" w:space="0" w:color="auto"/>
        <w:left w:val="none" w:sz="0" w:space="0" w:color="auto"/>
        <w:bottom w:val="none" w:sz="0" w:space="0" w:color="auto"/>
        <w:right w:val="none" w:sz="0" w:space="0" w:color="auto"/>
      </w:divBdr>
    </w:div>
    <w:div w:id="698624414">
      <w:bodyDiv w:val="1"/>
      <w:marLeft w:val="0"/>
      <w:marRight w:val="0"/>
      <w:marTop w:val="0"/>
      <w:marBottom w:val="0"/>
      <w:divBdr>
        <w:top w:val="none" w:sz="0" w:space="0" w:color="auto"/>
        <w:left w:val="none" w:sz="0" w:space="0" w:color="auto"/>
        <w:bottom w:val="none" w:sz="0" w:space="0" w:color="auto"/>
        <w:right w:val="none" w:sz="0" w:space="0" w:color="auto"/>
      </w:divBdr>
    </w:div>
    <w:div w:id="755631116">
      <w:bodyDiv w:val="1"/>
      <w:marLeft w:val="0"/>
      <w:marRight w:val="0"/>
      <w:marTop w:val="0"/>
      <w:marBottom w:val="0"/>
      <w:divBdr>
        <w:top w:val="none" w:sz="0" w:space="0" w:color="auto"/>
        <w:left w:val="none" w:sz="0" w:space="0" w:color="auto"/>
        <w:bottom w:val="none" w:sz="0" w:space="0" w:color="auto"/>
        <w:right w:val="none" w:sz="0" w:space="0" w:color="auto"/>
      </w:divBdr>
    </w:div>
    <w:div w:id="1325206244">
      <w:bodyDiv w:val="1"/>
      <w:marLeft w:val="0"/>
      <w:marRight w:val="0"/>
      <w:marTop w:val="0"/>
      <w:marBottom w:val="0"/>
      <w:divBdr>
        <w:top w:val="none" w:sz="0" w:space="0" w:color="auto"/>
        <w:left w:val="none" w:sz="0" w:space="0" w:color="auto"/>
        <w:bottom w:val="none" w:sz="0" w:space="0" w:color="auto"/>
        <w:right w:val="none" w:sz="0" w:space="0" w:color="auto"/>
      </w:divBdr>
    </w:div>
    <w:div w:id="1404180001">
      <w:bodyDiv w:val="1"/>
      <w:marLeft w:val="0"/>
      <w:marRight w:val="0"/>
      <w:marTop w:val="0"/>
      <w:marBottom w:val="0"/>
      <w:divBdr>
        <w:top w:val="none" w:sz="0" w:space="0" w:color="auto"/>
        <w:left w:val="none" w:sz="0" w:space="0" w:color="auto"/>
        <w:bottom w:val="none" w:sz="0" w:space="0" w:color="auto"/>
        <w:right w:val="none" w:sz="0" w:space="0" w:color="auto"/>
      </w:divBdr>
    </w:div>
    <w:div w:id="1867710541">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921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ofelskirosa@sde.idaho.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fr.gov/current/title-2/subtitle-A/chapter-II/part-200" TargetMode="External"/><Relationship Id="rId4" Type="http://schemas.openxmlformats.org/officeDocument/2006/relationships/styles" Target="styles.xml"/><Relationship Id="rId9" Type="http://schemas.openxmlformats.org/officeDocument/2006/relationships/hyperlink" Target="https://www.ecfr.gov/current/title-34/subtitle-B/chapter-III/part-30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5</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Contracting Opportunity Template</vt:lpstr>
    </vt:vector>
  </TitlesOfParts>
  <Company>Idaho State Department of Education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Fiscal Monitoring Contractor Contracting Opportunity</dc:title>
  <dc:subject>Accessibility</dc:subject>
  <dc:creator>lbecker@sde.idaho.gov</dc:creator>
  <cp:keywords>RFQ</cp:keywords>
  <cp:lastModifiedBy>Brad Starks</cp:lastModifiedBy>
  <cp:revision>3</cp:revision>
  <cp:lastPrinted>2017-07-31T23:01:00Z</cp:lastPrinted>
  <dcterms:created xsi:type="dcterms:W3CDTF">2025-07-15T13:23:00Z</dcterms:created>
  <dcterms:modified xsi:type="dcterms:W3CDTF">2025-07-15T14:36:00Z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