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B4F" w:rsidRPr="00335B4F" w:rsidRDefault="004C6DC1" w:rsidP="00335B4F">
      <w:pPr>
        <w:pStyle w:val="Heading1"/>
        <w:jc w:val="center"/>
        <w:rPr>
          <w:rStyle w:val="Strong"/>
          <w:b/>
          <w:sz w:val="36"/>
          <w:szCs w:val="36"/>
        </w:rPr>
      </w:pPr>
      <w:r w:rsidRPr="00335B4F">
        <w:rPr>
          <w:rStyle w:val="Strong"/>
          <w:b/>
          <w:sz w:val="36"/>
          <w:szCs w:val="36"/>
        </w:rPr>
        <w:t xml:space="preserve">Title </w:t>
      </w:r>
      <w:r w:rsidR="00335B4F" w:rsidRPr="00335B4F">
        <w:rPr>
          <w:rStyle w:val="Strong"/>
          <w:b/>
          <w:sz w:val="36"/>
          <w:szCs w:val="36"/>
        </w:rPr>
        <w:t>I-A Comparability Reporting</w:t>
      </w:r>
    </w:p>
    <w:p w:rsidR="008A049F" w:rsidRPr="00335B4F" w:rsidRDefault="00335B4F" w:rsidP="00335B4F">
      <w:pPr>
        <w:pStyle w:val="Heading2"/>
        <w:jc w:val="center"/>
        <w:rPr>
          <w:rStyle w:val="Strong"/>
        </w:rPr>
      </w:pPr>
      <w:r w:rsidRPr="00335B4F">
        <w:rPr>
          <w:rStyle w:val="Strong"/>
        </w:rPr>
        <w:t>New Process</w:t>
      </w:r>
    </w:p>
    <w:p w:rsidR="008A049F" w:rsidRDefault="008A049F" w:rsidP="008A049F">
      <w:pPr>
        <w:pStyle w:val="PlainText"/>
        <w:ind w:left="720"/>
      </w:pPr>
    </w:p>
    <w:p w:rsidR="00335B4F" w:rsidRDefault="00335B4F" w:rsidP="00335B4F">
      <w:pPr>
        <w:pStyle w:val="PlainText"/>
        <w:ind w:left="720"/>
      </w:pPr>
      <w:r>
        <w:rPr>
          <w:noProof/>
        </w:rPr>
        <w:drawing>
          <wp:inline distT="0" distB="0" distL="0" distR="0" wp14:anchorId="134A5694" wp14:editId="60DEED0B">
            <wp:extent cx="5230573" cy="6479540"/>
            <wp:effectExtent l="19050" t="19050" r="27305" b="16510"/>
            <wp:docPr id="1" name="Picture 1" descr="Accessible text is provided below the chart." title="Accessible text is provided below the cha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9234" cy="6502657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:rsidR="00335B4F" w:rsidRDefault="00335B4F" w:rsidP="00335B4F">
      <w:pPr>
        <w:pStyle w:val="Heading2"/>
      </w:pPr>
      <w:r>
        <w:lastRenderedPageBreak/>
        <w:t xml:space="preserve">Description of </w:t>
      </w:r>
      <w:r w:rsidR="00761B48">
        <w:t>t</w:t>
      </w:r>
      <w:bookmarkStart w:id="0" w:name="_GoBack"/>
      <w:bookmarkEnd w:id="0"/>
      <w:r>
        <w:t xml:space="preserve">he Chart </w:t>
      </w:r>
    </w:p>
    <w:p w:rsidR="00335B4F" w:rsidRPr="00335B4F" w:rsidRDefault="00335B4F" w:rsidP="00335B4F">
      <w:r w:rsidRPr="00335B4F">
        <w:t xml:space="preserve">In order to reduce administrative burden, Title I-A Comparability reporting is shifting from paper to online submission. Paper submission used to involve </w:t>
      </w:r>
      <w:r>
        <w:t xml:space="preserve">manually </w:t>
      </w:r>
      <w:r w:rsidRPr="00335B4F">
        <w:t>comparing buildings to each other, filling out the forms, looking up for a Title I-A status for each building, entering enrollment and State</w:t>
      </w:r>
      <w:r>
        <w:t>-</w:t>
      </w:r>
      <w:r w:rsidRPr="00335B4F">
        <w:t xml:space="preserve">funded FTEs and calculating the results by using ratios and formulas. </w:t>
      </w:r>
    </w:p>
    <w:p w:rsidR="00335B4F" w:rsidRPr="00335B4F" w:rsidRDefault="00335B4F" w:rsidP="00335B4F">
      <w:r w:rsidRPr="00335B4F">
        <w:t xml:space="preserve">Online submission will reduce administrative burden because the new Application </w:t>
      </w:r>
      <w:proofErr w:type="gramStart"/>
      <w:r w:rsidRPr="00335B4F">
        <w:t>will be connected</w:t>
      </w:r>
      <w:proofErr w:type="gramEnd"/>
      <w:r w:rsidRPr="00335B4F">
        <w:t xml:space="preserve"> to the Idaho System for Educational Excellence (ISEE) and the Consolidated Federal and State Grant application (CFSGA). The new Application will use the ISEE to prepopulate a snapshot of enrollment and </w:t>
      </w:r>
      <w:r>
        <w:t>S</w:t>
      </w:r>
      <w:r w:rsidRPr="00335B4F">
        <w:t>tate</w:t>
      </w:r>
      <w:r>
        <w:t>-</w:t>
      </w:r>
      <w:r w:rsidRPr="00335B4F">
        <w:t xml:space="preserve">funded FTEs reported by October 15 of this year. The new Application will use the CFSGA to prepopulate the </w:t>
      </w:r>
      <w:r>
        <w:t>T</w:t>
      </w:r>
      <w:r w:rsidRPr="00335B4F">
        <w:t xml:space="preserve">itle I-A status for each school.  This application </w:t>
      </w:r>
      <w:proofErr w:type="gramStart"/>
      <w:r w:rsidRPr="00335B4F">
        <w:t>is designed</w:t>
      </w:r>
      <w:proofErr w:type="gramEnd"/>
      <w:r w:rsidRPr="00335B4F">
        <w:t xml:space="preserve"> to recognize which forms</w:t>
      </w:r>
      <w:r>
        <w:t xml:space="preserve"> (approach)</w:t>
      </w:r>
      <w:r w:rsidRPr="00335B4F">
        <w:t xml:space="preserve"> benefit</w:t>
      </w:r>
      <w:r>
        <w:t>s each</w:t>
      </w:r>
      <w:r w:rsidRPr="00335B4F">
        <w:t xml:space="preserve"> LEA the most. All applicable forms </w:t>
      </w:r>
      <w:proofErr w:type="gramStart"/>
      <w:r w:rsidRPr="00335B4F">
        <w:t>will be prepopulated</w:t>
      </w:r>
      <w:proofErr w:type="gramEnd"/>
      <w:r w:rsidRPr="00335B4F">
        <w:t xml:space="preserve"> with corresponding formulas. </w:t>
      </w:r>
      <w:r>
        <w:t xml:space="preserve">An LEA will review the report and either confirm or adjust data. Manual adjustments </w:t>
      </w:r>
      <w:proofErr w:type="gramStart"/>
      <w:r>
        <w:t>will be allowed</w:t>
      </w:r>
      <w:proofErr w:type="gramEnd"/>
      <w:r>
        <w:t xml:space="preserve">. </w:t>
      </w:r>
    </w:p>
    <w:p w:rsidR="00335B4F" w:rsidRPr="00335B4F" w:rsidRDefault="00335B4F" w:rsidP="00335B4F">
      <w:r w:rsidRPr="00335B4F">
        <w:t xml:space="preserve">Link to the application </w:t>
      </w:r>
      <w:proofErr w:type="gramStart"/>
      <w:r w:rsidRPr="00335B4F">
        <w:t>will be provided</w:t>
      </w:r>
      <w:proofErr w:type="gramEnd"/>
      <w:r w:rsidRPr="00335B4F">
        <w:t xml:space="preserve"> soon. </w:t>
      </w:r>
      <w:r>
        <w:t xml:space="preserve">The </w:t>
      </w:r>
      <w:r w:rsidRPr="00335B4F">
        <w:t xml:space="preserve">Application </w:t>
      </w:r>
      <w:r>
        <w:t>o</w:t>
      </w:r>
      <w:r w:rsidRPr="00335B4F">
        <w:t>pens</w:t>
      </w:r>
      <w:r>
        <w:t xml:space="preserve"> on</w:t>
      </w:r>
      <w:r w:rsidRPr="00335B4F">
        <w:t xml:space="preserve"> October </w:t>
      </w:r>
      <w:proofErr w:type="gramStart"/>
      <w:r w:rsidRPr="00335B4F">
        <w:t>16th</w:t>
      </w:r>
      <w:proofErr w:type="gramEnd"/>
      <w:r w:rsidRPr="00335B4F">
        <w:t xml:space="preserve">, 2019. Submission due date is November </w:t>
      </w:r>
      <w:proofErr w:type="gramStart"/>
      <w:r w:rsidRPr="00335B4F">
        <w:t>15th</w:t>
      </w:r>
      <w:proofErr w:type="gramEnd"/>
      <w:r w:rsidRPr="00335B4F">
        <w:t xml:space="preserve">, 2019. All current CFSGA and Grant Reimbursement </w:t>
      </w:r>
      <w:r>
        <w:t>A</w:t>
      </w:r>
      <w:r w:rsidRPr="00335B4F">
        <w:t xml:space="preserve">pplication (GRA) users will automatically have access to the new Application. Training sessions </w:t>
      </w:r>
      <w:proofErr w:type="gramStart"/>
      <w:r w:rsidRPr="00335B4F">
        <w:t>will be offered</w:t>
      </w:r>
      <w:proofErr w:type="gramEnd"/>
      <w:r w:rsidRPr="00335B4F">
        <w:t xml:space="preserve"> during the New and Experienced Federal Programs </w:t>
      </w:r>
      <w:r>
        <w:t>D</w:t>
      </w:r>
      <w:r w:rsidRPr="00335B4F">
        <w:t xml:space="preserve">irectors Meeting, September 24-25, 2019. Additional emails with guidance </w:t>
      </w:r>
      <w:proofErr w:type="gramStart"/>
      <w:r w:rsidRPr="00335B4F">
        <w:t>will be sent</w:t>
      </w:r>
      <w:proofErr w:type="gramEnd"/>
      <w:r w:rsidRPr="00335B4F">
        <w:t xml:space="preserve"> to all LEAs.  </w:t>
      </w:r>
    </w:p>
    <w:sectPr w:rsidR="00335B4F" w:rsidRPr="00335B4F" w:rsidSect="008A049F">
      <w:headerReference w:type="default" r:id="rId10"/>
      <w:footerReference w:type="default" r:id="rId11"/>
      <w:pgSz w:w="12240" w:h="15840" w:code="1"/>
      <w:pgMar w:top="117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4C" w:rsidRDefault="0089514C">
      <w:pPr>
        <w:spacing w:after="0" w:line="240" w:lineRule="auto"/>
      </w:pPr>
      <w:r>
        <w:separator/>
      </w:r>
    </w:p>
  </w:endnote>
  <w:endnote w:type="continuationSeparator" w:id="0">
    <w:p w:rsidR="0089514C" w:rsidRDefault="0089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87" w:rsidRPr="005C368C" w:rsidRDefault="00335B4F" w:rsidP="003328C8">
    <w:pPr>
      <w:pStyle w:val="Footer"/>
      <w:pBdr>
        <w:top w:val="single" w:sz="4" w:space="1" w:color="153156" w:themeColor="background2" w:themeShade="40"/>
      </w:pBdr>
    </w:pPr>
    <w:r>
      <w:rPr>
        <w:rFonts w:ascii="Open Sans" w:hAnsi="Open Sans" w:cs="Open Sans"/>
        <w:color w:val="5C5C5C" w:themeColor="text1" w:themeTint="BF"/>
        <w:sz w:val="16"/>
      </w:rPr>
      <w:t>09/05</w:t>
    </w:r>
    <w:r w:rsidR="00D96187" w:rsidRPr="00C238E8">
      <w:rPr>
        <w:rFonts w:ascii="Open Sans" w:hAnsi="Open Sans" w:cs="Open Sans"/>
        <w:color w:val="5C5C5C" w:themeColor="text1" w:themeTint="BF"/>
        <w:sz w:val="16"/>
      </w:rPr>
      <w:t>/</w:t>
    </w:r>
    <w:r>
      <w:rPr>
        <w:rFonts w:ascii="Open Sans" w:hAnsi="Open Sans" w:cs="Open Sans"/>
        <w:color w:val="5C5C5C" w:themeColor="text1" w:themeTint="BF"/>
        <w:sz w:val="16"/>
      </w:rPr>
      <w:t>2019</w:t>
    </w:r>
    <w:r w:rsidR="00D96187" w:rsidRPr="00C238E8">
      <w:rPr>
        <w:color w:val="5C5C5C" w:themeColor="text1" w:themeTint="BF"/>
        <w:sz w:val="16"/>
      </w:rPr>
      <w:ptab w:relativeTo="margin" w:alignment="right" w:leader="none"/>
    </w:r>
    <w:r w:rsidR="00CA469D" w:rsidRPr="00C238E8">
      <w:rPr>
        <w:rStyle w:val="Heading2Char"/>
        <w:color w:val="5C5C5C" w:themeColor="text1" w:themeTint="BF"/>
        <w:sz w:val="16"/>
      </w:rPr>
      <w:t xml:space="preserve"> </w:t>
    </w:r>
    <w:r w:rsidR="004C6DC1"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>Title</w:t>
    </w:r>
    <w:r>
      <w:rPr>
        <w:rStyle w:val="Heading2Char"/>
        <w:rFonts w:ascii="Open Sans Semibold" w:hAnsi="Open Sans Semibold" w:cs="Open Sans Semibold"/>
        <w:color w:val="153156" w:themeColor="background2" w:themeShade="40"/>
        <w:sz w:val="18"/>
        <w:szCs w:val="18"/>
      </w:rPr>
      <w:t xml:space="preserve"> I-A Comparability  / Federal programs</w:t>
    </w:r>
    <w:r w:rsidR="00CA469D" w:rsidRPr="00C238E8">
      <w:rPr>
        <w:rStyle w:val="Heading2Char"/>
        <w:b/>
        <w:color w:val="153156" w:themeColor="background2" w:themeShade="40"/>
        <w:sz w:val="18"/>
        <w:szCs w:val="18"/>
      </w:rPr>
      <w:t xml:space="preserve"> </w:t>
    </w:r>
    <w:r w:rsidR="003328C8" w:rsidRPr="00C238E8">
      <w:rPr>
        <w:rStyle w:val="Heading2Char"/>
        <w:color w:val="153156" w:themeColor="background2" w:themeShade="40"/>
        <w:sz w:val="18"/>
        <w:szCs w:val="18"/>
      </w:rPr>
      <w:t xml:space="preserve"> </w:t>
    </w:r>
    <w:r w:rsidR="00C238E8">
      <w:rPr>
        <w:rStyle w:val="Heading2Char"/>
        <w:color w:val="5C5C5C" w:themeColor="text1" w:themeTint="BF"/>
        <w:sz w:val="18"/>
        <w:szCs w:val="18"/>
      </w:rPr>
      <w:t>/</w:t>
    </w:r>
    <w:r w:rsidR="003123D4">
      <w:rPr>
        <w:rStyle w:val="Heading2Char"/>
        <w:color w:val="5C5C5C" w:themeColor="text1" w:themeTint="BF"/>
        <w:sz w:val="18"/>
        <w:szCs w:val="18"/>
      </w:rPr>
      <w:t xml:space="preserve"> </w:t>
    </w:r>
    <w:r w:rsidR="00D96187" w:rsidRPr="00C238E8">
      <w:rPr>
        <w:rFonts w:ascii="Open Sans" w:hAnsi="Open Sans" w:cs="Open Sans"/>
        <w:color w:val="5C5C5C" w:themeColor="text1" w:themeTint="BF"/>
        <w:sz w:val="18"/>
        <w:szCs w:val="18"/>
      </w:rPr>
      <w:t xml:space="preserve"> </w:t>
    </w:r>
    <w:r w:rsidR="00B82E2B" w:rsidRPr="00C238E8">
      <w:rPr>
        <w:rFonts w:ascii="Open Sans" w:hAnsi="Open Sans" w:cs="Open Sans"/>
        <w:color w:val="5C5C5C" w:themeColor="text1" w:themeTint="BF"/>
        <w:sz w:val="18"/>
        <w:szCs w:val="18"/>
      </w:rPr>
      <w:t>SDE</w:t>
    </w:r>
  </w:p>
  <w:p w:rsidR="00F94D3A" w:rsidRPr="00D96187" w:rsidRDefault="00F94D3A" w:rsidP="00D9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4C" w:rsidRDefault="0089514C">
      <w:pPr>
        <w:spacing w:after="0" w:line="240" w:lineRule="auto"/>
      </w:pPr>
      <w:r>
        <w:separator/>
      </w:r>
    </w:p>
  </w:footnote>
  <w:footnote w:type="continuationSeparator" w:id="0">
    <w:p w:rsidR="0089514C" w:rsidRDefault="00895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314" w:rsidRDefault="00646404" w:rsidP="001978AF">
    <w:pPr>
      <w:pStyle w:val="Header"/>
      <w:spacing w:after="360"/>
      <w:ind w:left="-274"/>
      <w:jc w:val="right"/>
    </w:pPr>
    <w:r>
      <w:t xml:space="preserve"> </w:t>
    </w:r>
    <w:r>
      <w:rPr>
        <w:noProof/>
        <w:lang w:eastAsia="en-US"/>
      </w:rPr>
      <w:drawing>
        <wp:inline distT="0" distB="0" distL="0" distR="0">
          <wp:extent cx="711477" cy="731520"/>
          <wp:effectExtent l="0" t="0" r="0" b="0"/>
          <wp:docPr id="2" name="Picture 2" descr="SD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SDE-Logo-P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477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AD6"/>
    <w:multiLevelType w:val="hybridMultilevel"/>
    <w:tmpl w:val="2194A2B4"/>
    <w:lvl w:ilvl="0" w:tplc="63EE25EC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  <w:color w:val="2B63AC" w:themeColor="background2" w:themeShade="8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E5D71"/>
    <w:multiLevelType w:val="hybridMultilevel"/>
    <w:tmpl w:val="C9CE7FEC"/>
    <w:lvl w:ilvl="0" w:tplc="27A41A36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2B63AC" w:themeColor="background2" w:themeShade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2"/>
    <w:lvlOverride w:ilvl="0">
      <w:startOverride w:val="1"/>
    </w:lvlOverride>
  </w:num>
  <w:num w:numId="4">
    <w:abstractNumId w:val="25"/>
  </w:num>
  <w:num w:numId="5">
    <w:abstractNumId w:val="17"/>
  </w:num>
  <w:num w:numId="6">
    <w:abstractNumId w:val="21"/>
  </w:num>
  <w:num w:numId="7">
    <w:abstractNumId w:val="5"/>
  </w:num>
  <w:num w:numId="8">
    <w:abstractNumId w:val="13"/>
  </w:num>
  <w:num w:numId="9">
    <w:abstractNumId w:val="20"/>
  </w:num>
  <w:num w:numId="10">
    <w:abstractNumId w:val="19"/>
  </w:num>
  <w:num w:numId="11">
    <w:abstractNumId w:val="2"/>
  </w:num>
  <w:num w:numId="12">
    <w:abstractNumId w:val="16"/>
  </w:num>
  <w:num w:numId="13">
    <w:abstractNumId w:val="1"/>
  </w:num>
  <w:num w:numId="14">
    <w:abstractNumId w:val="24"/>
  </w:num>
  <w:num w:numId="15">
    <w:abstractNumId w:val="15"/>
  </w:num>
  <w:num w:numId="16">
    <w:abstractNumId w:val="11"/>
  </w:num>
  <w:num w:numId="17">
    <w:abstractNumId w:val="14"/>
  </w:num>
  <w:num w:numId="18">
    <w:abstractNumId w:val="3"/>
  </w:num>
  <w:num w:numId="19">
    <w:abstractNumId w:val="8"/>
  </w:num>
  <w:num w:numId="20">
    <w:abstractNumId w:val="12"/>
  </w:num>
  <w:num w:numId="21">
    <w:abstractNumId w:val="4"/>
  </w:num>
  <w:num w:numId="22">
    <w:abstractNumId w:val="23"/>
  </w:num>
  <w:num w:numId="23">
    <w:abstractNumId w:val="10"/>
  </w:num>
  <w:num w:numId="24">
    <w:abstractNumId w:val="27"/>
  </w:num>
  <w:num w:numId="25">
    <w:abstractNumId w:val="7"/>
  </w:num>
  <w:num w:numId="26">
    <w:abstractNumId w:val="18"/>
  </w:num>
  <w:num w:numId="27">
    <w:abstractNumId w:val="26"/>
  </w:num>
  <w:num w:numId="28">
    <w:abstractNumId w:val="9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0N7AwtzQ1NjG1MLVU0lEKTi0uzszPAykwqgUAmizeLiwAAAA="/>
  </w:docVars>
  <w:rsids>
    <w:rsidRoot w:val="00347EBE"/>
    <w:rsid w:val="00007887"/>
    <w:rsid w:val="0001378B"/>
    <w:rsid w:val="00014AD2"/>
    <w:rsid w:val="000160F4"/>
    <w:rsid w:val="00062E3E"/>
    <w:rsid w:val="000716DE"/>
    <w:rsid w:val="00081174"/>
    <w:rsid w:val="00083931"/>
    <w:rsid w:val="00096168"/>
    <w:rsid w:val="000A035E"/>
    <w:rsid w:val="0010006A"/>
    <w:rsid w:val="00103DBC"/>
    <w:rsid w:val="00112D4A"/>
    <w:rsid w:val="001168C0"/>
    <w:rsid w:val="00154031"/>
    <w:rsid w:val="00174906"/>
    <w:rsid w:val="00180F84"/>
    <w:rsid w:val="0018288A"/>
    <w:rsid w:val="00196761"/>
    <w:rsid w:val="001978AF"/>
    <w:rsid w:val="001B4B0B"/>
    <w:rsid w:val="001B5314"/>
    <w:rsid w:val="001F5404"/>
    <w:rsid w:val="00241954"/>
    <w:rsid w:val="00245FA3"/>
    <w:rsid w:val="0025689F"/>
    <w:rsid w:val="0026476C"/>
    <w:rsid w:val="00281739"/>
    <w:rsid w:val="0029223D"/>
    <w:rsid w:val="002C4235"/>
    <w:rsid w:val="002C6E2B"/>
    <w:rsid w:val="002D14F2"/>
    <w:rsid w:val="002F1BB5"/>
    <w:rsid w:val="003123D4"/>
    <w:rsid w:val="003328C8"/>
    <w:rsid w:val="00335B4F"/>
    <w:rsid w:val="00343BC7"/>
    <w:rsid w:val="00347EBE"/>
    <w:rsid w:val="00362647"/>
    <w:rsid w:val="003A5AAF"/>
    <w:rsid w:val="003D0540"/>
    <w:rsid w:val="003D5F75"/>
    <w:rsid w:val="00424314"/>
    <w:rsid w:val="004667B3"/>
    <w:rsid w:val="00492A4E"/>
    <w:rsid w:val="004C6DC1"/>
    <w:rsid w:val="004E05E7"/>
    <w:rsid w:val="005538F4"/>
    <w:rsid w:val="005A104F"/>
    <w:rsid w:val="005B1976"/>
    <w:rsid w:val="00637DF6"/>
    <w:rsid w:val="006460A3"/>
    <w:rsid w:val="00646404"/>
    <w:rsid w:val="0066385B"/>
    <w:rsid w:val="00715120"/>
    <w:rsid w:val="007334DA"/>
    <w:rsid w:val="00761B48"/>
    <w:rsid w:val="00791D1B"/>
    <w:rsid w:val="007E114F"/>
    <w:rsid w:val="00807835"/>
    <w:rsid w:val="00853C51"/>
    <w:rsid w:val="00872142"/>
    <w:rsid w:val="0089512B"/>
    <w:rsid w:val="0089514C"/>
    <w:rsid w:val="008A049F"/>
    <w:rsid w:val="008B16D9"/>
    <w:rsid w:val="009057E8"/>
    <w:rsid w:val="00924BE8"/>
    <w:rsid w:val="009262F6"/>
    <w:rsid w:val="00940C28"/>
    <w:rsid w:val="00956C1B"/>
    <w:rsid w:val="00967BB3"/>
    <w:rsid w:val="00976BFB"/>
    <w:rsid w:val="009A4025"/>
    <w:rsid w:val="00A01BFA"/>
    <w:rsid w:val="00A16E07"/>
    <w:rsid w:val="00AB4310"/>
    <w:rsid w:val="00AB724D"/>
    <w:rsid w:val="00AD1E5A"/>
    <w:rsid w:val="00AD4B8D"/>
    <w:rsid w:val="00AE0F6C"/>
    <w:rsid w:val="00B33BBD"/>
    <w:rsid w:val="00B36BC8"/>
    <w:rsid w:val="00B565A2"/>
    <w:rsid w:val="00B82E2B"/>
    <w:rsid w:val="00B9639E"/>
    <w:rsid w:val="00BB7C99"/>
    <w:rsid w:val="00BC3467"/>
    <w:rsid w:val="00C238E8"/>
    <w:rsid w:val="00C318EC"/>
    <w:rsid w:val="00C53AE9"/>
    <w:rsid w:val="00C55449"/>
    <w:rsid w:val="00C5566D"/>
    <w:rsid w:val="00C807B2"/>
    <w:rsid w:val="00C81D83"/>
    <w:rsid w:val="00C96EF5"/>
    <w:rsid w:val="00CA2966"/>
    <w:rsid w:val="00CA469D"/>
    <w:rsid w:val="00CA792B"/>
    <w:rsid w:val="00CB7368"/>
    <w:rsid w:val="00CC33FF"/>
    <w:rsid w:val="00CD072C"/>
    <w:rsid w:val="00CE5D9B"/>
    <w:rsid w:val="00D022E5"/>
    <w:rsid w:val="00D96187"/>
    <w:rsid w:val="00DE52FA"/>
    <w:rsid w:val="00DF27A6"/>
    <w:rsid w:val="00E80235"/>
    <w:rsid w:val="00EB2D92"/>
    <w:rsid w:val="00EC4660"/>
    <w:rsid w:val="00ED0AC9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  <w:rsid w:val="00FC7748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D535BF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0B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AC9"/>
    <w:pPr>
      <w:keepNext/>
      <w:keepLines/>
      <w:spacing w:before="36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0AC9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0AC9"/>
    <w:pPr>
      <w:keepNext/>
      <w:keepLines/>
      <w:spacing w:before="240" w:after="0"/>
      <w:outlineLvl w:val="2"/>
    </w:pPr>
    <w:rPr>
      <w:rFonts w:eastAsiaTheme="majorEastAsia" w:cstheme="majorBidi"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0AC9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0AC9"/>
    <w:pPr>
      <w:pBdr>
        <w:left w:val="double" w:sz="18" w:space="4" w:color="153156" w:themeColor="background2" w:themeShade="40"/>
      </w:pBdr>
      <w:spacing w:after="120" w:line="240" w:lineRule="auto"/>
    </w:pPr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ED0AC9"/>
    <w:rPr>
      <w:rFonts w:ascii="Cambria" w:eastAsiaTheme="majorEastAsia" w:hAnsi="Cambria" w:cstheme="majorBidi"/>
      <w:b/>
      <w:color w:val="0E3354"/>
      <w:kern w:val="28"/>
      <w:sz w:val="44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716DE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16DE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0AC9"/>
    <w:rPr>
      <w:rFonts w:ascii="Calibri" w:hAnsi="Calibri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5A104F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D0AC9"/>
    <w:rPr>
      <w:rFonts w:ascii="Calibri" w:hAnsi="Calibri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716DE"/>
    <w:pPr>
      <w:numPr>
        <w:numId w:val="2"/>
      </w:numPr>
      <w:spacing w:after="6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ED0AC9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ED0AC9"/>
    <w:rPr>
      <w:rFonts w:ascii="Calibri" w:hAnsi="Calibri"/>
      <w:iCs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basedOn w:val="Normal"/>
    <w:uiPriority w:val="34"/>
    <w:qFormat/>
    <w:rsid w:val="001B4B0B"/>
    <w:pPr>
      <w:numPr>
        <w:numId w:val="11"/>
      </w:numPr>
      <w:spacing w:after="200" w:line="276" w:lineRule="auto"/>
      <w:ind w:left="504"/>
      <w:contextualSpacing/>
    </w:pPr>
    <w:rPr>
      <w:color w:val="262626" w:themeColor="text1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112D4A"/>
    <w:pPr>
      <w:widowControl w:val="0"/>
      <w:autoSpaceDE w:val="0"/>
      <w:autoSpaceDN w:val="0"/>
      <w:spacing w:after="0" w:line="240" w:lineRule="auto"/>
      <w:ind w:left="840" w:hanging="360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12D4A"/>
    <w:rPr>
      <w:rFonts w:ascii="Open Sans" w:eastAsia="Arial" w:hAnsi="Open Sans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D0AC9"/>
    <w:rPr>
      <w:rFonts w:ascii="Calibri" w:eastAsiaTheme="majorEastAsia" w:hAnsi="Calibri" w:cstheme="majorBidi"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18EC"/>
    <w:rPr>
      <w:color w:val="2B63AC" w:themeColor="background2" w:themeShade="80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5A104F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318EC"/>
    <w:pPr>
      <w:spacing w:after="100" w:line="276" w:lineRule="auto"/>
    </w:pPr>
    <w:rPr>
      <w:rFonts w:ascii="Open Sans Semibold" w:eastAsiaTheme="minorEastAsia" w:hAnsi="Open Sans Semibold"/>
      <w:color w:val="717171" w:themeColor="text1" w:themeTint="A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0AC9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11131-F77A-47C9-8B38-8154AE2B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28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Document Template</vt:lpstr>
    </vt:vector>
  </TitlesOfParts>
  <Company>Idaho State Department of Education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Document Template</dc:title>
  <dc:subject>Accessibility</dc:subject>
  <dc:creator>Lorie Bolen</dc:creator>
  <cp:keywords/>
  <cp:lastModifiedBy>Elmira Feather</cp:lastModifiedBy>
  <cp:revision>4</cp:revision>
  <cp:lastPrinted>2017-07-31T23:01:00Z</cp:lastPrinted>
  <dcterms:created xsi:type="dcterms:W3CDTF">2019-09-05T15:29:00Z</dcterms:created>
  <dcterms:modified xsi:type="dcterms:W3CDTF">2019-09-05T16:06:00Z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